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3"/>
      <w:bookmarkStart w:id="3" w:name="OLE_LINK33"/>
      <w:bookmarkStart w:id="4" w:name="OLE_LINK12"/>
      <w:r>
        <w:rPr>
          <w:rFonts w:cs="Arial"/>
          <w:b/>
        </w:rPr>
        <w:t>3GPP TSG-RAN WG2 Meeting #11</w:t>
      </w:r>
      <w:r>
        <w:rPr>
          <w:rFonts w:hint="eastAsia" w:cs="Arial"/>
          <w:b/>
          <w:lang w:val="en-US" w:eastAsia="zh-CN"/>
        </w:rPr>
        <w:t>9-bis</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210083</w:t>
      </w:r>
    </w:p>
    <w:p>
      <w:pPr>
        <w:snapToGrid w:val="0"/>
        <w:spacing w:after="0" w:line="240" w:lineRule="auto"/>
        <w:rPr>
          <w:rFonts w:cs="Arial"/>
          <w:b/>
          <w:lang w:val="en-US" w:eastAsia="zh-CN"/>
        </w:rPr>
      </w:pPr>
      <w:r>
        <w:rPr>
          <w:rFonts w:cs="Arial"/>
          <w:b/>
        </w:rPr>
        <w:t xml:space="preserve">Online, </w:t>
      </w:r>
      <w:r>
        <w:rPr>
          <w:rFonts w:hint="eastAsia" w:cs="Arial"/>
          <w:b/>
          <w:lang w:val="en-US" w:eastAsia="zh-CN"/>
        </w:rPr>
        <w:t>Oct</w:t>
      </w:r>
      <w:r>
        <w:rPr>
          <w:rFonts w:cs="Arial"/>
          <w:b/>
        </w:rPr>
        <w:t xml:space="preserve"> </w:t>
      </w:r>
      <w:r>
        <w:rPr>
          <w:rFonts w:hint="eastAsia" w:cs="Arial"/>
          <w:b/>
          <w:lang w:val="en-US" w:eastAsia="zh-CN"/>
        </w:rPr>
        <w:t>10</w:t>
      </w:r>
      <w:r>
        <w:rPr>
          <w:rFonts w:cs="Arial"/>
          <w:b/>
        </w:rPr>
        <w:t>th –</w:t>
      </w:r>
      <w:r>
        <w:rPr>
          <w:rFonts w:hint="eastAsia" w:cs="Arial"/>
          <w:b/>
          <w:lang w:val="en-US" w:eastAsia="zh-CN"/>
        </w:rPr>
        <w:t xml:space="preserve"> 19</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LPHAP</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8.2.4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w:t>
      </w:r>
      <w:r>
        <w:rPr>
          <w:rFonts w:ascii="Times New Roman" w:hAnsi="Times New Roman"/>
          <w:sz w:val="20"/>
          <w:szCs w:val="20"/>
          <w:lang w:val="en-US" w:eastAsia="zh-CN"/>
        </w:rPr>
        <w:t xml:space="preserve">he </w:t>
      </w:r>
      <w:r>
        <w:rPr>
          <w:rFonts w:hint="eastAsia" w:ascii="Times New Roman" w:hAnsi="Times New Roman"/>
          <w:sz w:val="20"/>
          <w:szCs w:val="20"/>
          <w:lang w:val="en-US" w:eastAsia="zh-CN"/>
        </w:rPr>
        <w:t>Rel-18 SID</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[1] for LPHAP positioning is achieved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Improved accuracy, integrity, and power efficiency:</w:t>
            </w:r>
          </w:p>
          <w:p>
            <w:pPr>
              <w:pageBreakBefore w:val="0"/>
              <w:numPr>
                <w:ilvl w:val="1"/>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pPr>
              <w:pageBreakBefore w:val="0"/>
              <w:numPr>
                <w:ilvl w:val="2"/>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Study is limited to a single representative use case (use case 6 as defined TS 22.104). The choice of selected use case can be reviewed at the start of the study.</w:t>
            </w:r>
          </w:p>
          <w:p>
            <w:pPr>
              <w:pageBreakBefore w:val="0"/>
              <w:numPr>
                <w:ilvl w:val="2"/>
                <w:numId w:val="6"/>
              </w:numPr>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default" w:ascii="Times New Roman" w:hAnsi="Times New Roman" w:cs="Times New Roman"/>
                <w:bCs/>
                <w:sz w:val="20"/>
                <w:szCs w:val="20"/>
              </w:rPr>
              <w:t>Study is limited to enhancements to RRC_INACTIVE and/or RRC_IDLE state</w:t>
            </w:r>
          </w:p>
        </w:tc>
      </w:tr>
    </w:tbl>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this contribution, we discuss some technical enhancements about LPHAP positioning from RAN2 perspective.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sz w:val="24"/>
          <w:szCs w:val="28"/>
          <w:lang w:val="en-US" w:eastAsia="zh-CN"/>
        </w:rPr>
        <w:t>Identification of LPHAP UE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LPHAP</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(Low Power High Accuracy Positioning) service aims to perform high accuracy positioning while saving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s power. According to TS22.104</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[2], the service is especially applied in warehousing</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 logistics processes, autonomous driving systems</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 xml:space="preserve">fleet management and flexible adaptation in production. The special kind of UE needs to </w:t>
      </w:r>
      <w:r>
        <w:rPr>
          <w:rFonts w:ascii="Times New Roman" w:hAnsi="Times New Roman" w:eastAsia="宋体"/>
          <w:sz w:val="20"/>
          <w:szCs w:val="20"/>
          <w:lang w:val="en-US" w:eastAsia="zh-CN"/>
        </w:rPr>
        <w:t xml:space="preserve">dedicatedly </w:t>
      </w:r>
      <w:r>
        <w:rPr>
          <w:rFonts w:hint="eastAsia" w:ascii="Times New Roman" w:hAnsi="Times New Roman" w:eastAsia="宋体"/>
          <w:sz w:val="20"/>
          <w:szCs w:val="20"/>
          <w:lang w:val="en-US" w:eastAsia="zh-CN"/>
        </w:rPr>
        <w:t xml:space="preserve">perform </w:t>
      </w:r>
      <w:r>
        <w:rPr>
          <w:rFonts w:ascii="Times New Roman" w:hAnsi="Times New Roman" w:eastAsia="宋体"/>
          <w:sz w:val="20"/>
          <w:szCs w:val="20"/>
          <w:lang w:val="en-US" w:eastAsia="zh-CN"/>
        </w:rPr>
        <w:t>these kind of</w:t>
      </w:r>
      <w:r>
        <w:rPr>
          <w:rFonts w:hint="eastAsia" w:ascii="Times New Roman" w:hAnsi="Times New Roman" w:eastAsia="宋体"/>
          <w:sz w:val="20"/>
          <w:szCs w:val="20"/>
          <w:lang w:val="en-US" w:eastAsia="zh-CN"/>
        </w:rPr>
        <w:t xml:space="preserve"> service</w:t>
      </w:r>
      <w:r>
        <w:rPr>
          <w:rFonts w:ascii="Times New Roman" w:hAnsi="Times New Roman" w:eastAsia="宋体"/>
          <w:sz w:val="20"/>
          <w:szCs w:val="20"/>
          <w:lang w:val="en-US" w:eastAsia="zh-CN"/>
        </w:rPr>
        <w:t>s with very low power consumption</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can be</w:t>
      </w:r>
      <w:r>
        <w:rPr>
          <w:rFonts w:hint="eastAsia" w:ascii="Times New Roman" w:hAnsi="Times New Roman" w:eastAsia="宋体"/>
          <w:sz w:val="20"/>
          <w:szCs w:val="20"/>
          <w:lang w:val="en-US" w:eastAsia="zh-CN"/>
        </w:rPr>
        <w:t xml:space="preserve"> called LPHAP UE, and the typical LPHAP UE includes tools or workpieces of autonomous driving systems, production machinery and assembly cells in the factory, smart meter or smart wearable devices</w:t>
      </w:r>
      <w:r>
        <w:rPr>
          <w:rFonts w:ascii="Times New Roman" w:hAnsi="Times New Roman" w:eastAsia="宋体"/>
          <w:sz w:val="20"/>
          <w:szCs w:val="20"/>
          <w:lang w:val="en-US" w:eastAsia="zh-CN"/>
        </w:rPr>
        <w:t>, etc</w:t>
      </w:r>
      <w:r>
        <w:rPr>
          <w:rFonts w:hint="eastAsia" w:ascii="Times New Roman" w:hAnsi="Times New Roman" w:eastAsia="宋体"/>
          <w:sz w:val="20"/>
          <w:szCs w:val="20"/>
          <w:lang w:val="en-US" w:eastAsia="zh-CN"/>
        </w:rPr>
        <w:t>. In order to reduce power consumption, network may need to relax some configuration for LPHAP UE, for example, reduce the configured number of TRPs/PFLs/PRS resources or configure concise measurement report (larger measurement report period or less requested report samples, etc.). In the consequence, it is necessary for the network to know whether the UE is a LPHAP UE. Basically, there are 2 solutions of LPHAP UE identification:</w:t>
      </w:r>
    </w:p>
    <w:p>
      <w:pPr>
        <w:pageBreakBefore w:val="0"/>
        <w:widowControl/>
        <w:numPr>
          <w:ilvl w:val="0"/>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Direct-to-LMF solution</w:t>
      </w:r>
    </w:p>
    <w:p>
      <w:pPr>
        <w:pageBreakBefore w:val="0"/>
        <w:widowControl/>
        <w:numPr>
          <w:ilvl w:val="1"/>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UE capability indicates it is a LPHAP UE, and is directly sent to LMF via LPP message. LMF identifies the LPHAP UE via the UE capability.</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Direct-to-gNB solution</w:t>
      </w:r>
    </w:p>
    <w:p>
      <w:pPr>
        <w:pageBreakBefore w:val="0"/>
        <w:widowControl/>
        <w:numPr>
          <w:ilvl w:val="1"/>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UE capability </w:t>
      </w:r>
      <w:r>
        <w:rPr>
          <w:rFonts w:ascii="Times New Roman" w:hAnsi="Times New Roman" w:eastAsia="宋体"/>
          <w:sz w:val="20"/>
          <w:szCs w:val="20"/>
          <w:lang w:val="en-US" w:eastAsia="zh-CN"/>
        </w:rPr>
        <w:t xml:space="preserve">signaling </w:t>
      </w:r>
      <w:r>
        <w:rPr>
          <w:rFonts w:hint="eastAsia" w:ascii="Times New Roman" w:hAnsi="Times New Roman" w:eastAsia="宋体"/>
          <w:sz w:val="20"/>
          <w:szCs w:val="20"/>
          <w:lang w:val="en-US" w:eastAsia="zh-CN"/>
        </w:rPr>
        <w:t>indicates it is a LPHAP UE, and is directly sent to serving gNB via RRC message. Serving gNB identifies the LPHAP UE via the UE capability.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LMF surely needs to know the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s attribute to relax positioning configurations properly, as all the PRS configuration transmitted to UE is determined by LMF; Moreover, it is also useful for serving gNB to acquire LPHAP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s capability, for example, release/resume LPHAP UE for state </w:t>
      </w:r>
      <w:r>
        <w:rPr>
          <w:rFonts w:ascii="Times New Roman" w:hAnsi="Times New Roman" w:eastAsia="宋体"/>
          <w:sz w:val="20"/>
          <w:szCs w:val="20"/>
          <w:lang w:val="en-US" w:eastAsia="zh-CN"/>
        </w:rPr>
        <w:t>transition</w:t>
      </w:r>
      <w:r>
        <w:rPr>
          <w:rFonts w:hint="eastAsia" w:ascii="Times New Roman" w:hAnsi="Times New Roman" w:eastAsia="宋体"/>
          <w:sz w:val="20"/>
          <w:szCs w:val="20"/>
          <w:lang w:val="en-US" w:eastAsia="zh-CN"/>
        </w:rPr>
        <w:t>, configure suitable paging cycle or SRS/PRS configuration for LPHAP UEs in RRC_INACTIVE, etc. Therefore,</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the direct-to-LMF solution and/or direct-to-gNB solution should be supported, based on the specific enhancements.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In addition, the content of LPHAP capability raised some discussion in the email discussion. LPHAP UE can just simply indicate to NW the kind of capability like </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I am a LPHAP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then network will consider a series of relaxed positioning configurations; LPHAP UE can also indicate every UE capability corresponding to every new features similar as legacy UEs.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 xml:space="preserve">Proposal 1: Support LPHAP UE to send its capability directly to LMF </w:t>
      </w:r>
      <w:r>
        <w:rPr>
          <w:rFonts w:ascii="Times New Roman" w:hAnsi="Times New Roman" w:eastAsia="宋体"/>
          <w:b/>
          <w:bCs/>
          <w:i/>
          <w:iCs/>
          <w:sz w:val="20"/>
          <w:szCs w:val="20"/>
          <w:lang w:val="en-US" w:eastAsia="zh-CN"/>
        </w:rPr>
        <w:t>and</w:t>
      </w:r>
      <w:r>
        <w:rPr>
          <w:rFonts w:hint="eastAsia" w:ascii="Times New Roman" w:hAnsi="Times New Roman" w:eastAsia="宋体"/>
          <w:b/>
          <w:bCs/>
          <w:i/>
          <w:iCs/>
          <w:sz w:val="20"/>
          <w:szCs w:val="20"/>
          <w:lang w:val="en-US" w:eastAsia="zh-CN"/>
        </w:rPr>
        <w:t>/or gNB for identification, based on the specific enhancements. FFS that one capability is enough, or separate capabilities of separate features are needed.</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sz w:val="24"/>
          <w:szCs w:val="28"/>
          <w:lang w:val="en-US" w:eastAsia="zh-CN"/>
        </w:rPr>
        <w:t xml:space="preserve"> DL/DL+UL positioning enhancement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RRC_INACTIVE/RRC_IDLE state, UE</w:t>
      </w:r>
      <w:r>
        <w:rPr>
          <w:rFonts w:ascii="Times New Roman" w:hAnsi="Times New Roman"/>
          <w:sz w:val="20"/>
          <w:szCs w:val="20"/>
          <w:lang w:val="en-US" w:eastAsia="zh-CN"/>
        </w:rPr>
        <w:t>’</w:t>
      </w:r>
      <w:r>
        <w:rPr>
          <w:rFonts w:hint="eastAsia" w:ascii="Times New Roman" w:hAnsi="Times New Roman"/>
          <w:sz w:val="20"/>
          <w:szCs w:val="20"/>
          <w:lang w:val="en-US" w:eastAsia="zh-CN"/>
        </w:rPr>
        <w:t>s legacy action includes monitoring a paging cycle and a PO</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(paging occasion) in which a paging DCI and corresponding PDSCH may contain, and/or receiving SSBs of serving cell and neighbor cell for RRM measurement. In addition for DL/DL+UL positioning, UE can be configured to receive PRS and make measurements in RRC_INACTIVE/RRC_IDLE. Each time when any of these UE action happens, UE will transit from sleep mode to active mode, which will cause additional ramp-up/ramp-down power. The relative power of receiving/transmitting signals/channels and state transition is specified in 38.840</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[3] section 8.1:</w:t>
      </w:r>
    </w:p>
    <w:p>
      <w:pPr>
        <w:pStyle w:val="88"/>
        <w:pageBreakBefore w:val="0"/>
        <w:kinsoku/>
        <w:wordWrap/>
        <w:topLinePunct w:val="0"/>
        <w:bidi w:val="0"/>
        <w:adjustRightInd w:val="0"/>
        <w:snapToGrid w:val="0"/>
        <w:spacing w:before="157" w:beforeLines="50" w:after="157" w:afterLines="50" w:line="240" w:lineRule="auto"/>
        <w:rPr>
          <w:color w:val="auto"/>
        </w:rPr>
      </w:pPr>
      <w:r>
        <w:rPr>
          <w:color w:val="auto"/>
        </w:rPr>
        <w:t>Table 18: UE power consumption model for FR1</w:t>
      </w:r>
    </w:p>
    <w:tbl>
      <w:tblPr>
        <w:tblStyle w:val="56"/>
        <w:tblW w:w="4999" w:type="pct"/>
        <w:jc w:val="center"/>
        <w:tblLayout w:type="autofit"/>
        <w:tblCellMar>
          <w:top w:w="0" w:type="dxa"/>
          <w:left w:w="0" w:type="dxa"/>
          <w:bottom w:w="0" w:type="dxa"/>
          <w:right w:w="0" w:type="dxa"/>
        </w:tblCellMar>
      </w:tblPr>
      <w:tblGrid>
        <w:gridCol w:w="1381"/>
        <w:gridCol w:w="5615"/>
        <w:gridCol w:w="2244"/>
      </w:tblGrid>
      <w:tr>
        <w:tblPrEx>
          <w:tblCellMar>
            <w:top w:w="0" w:type="dxa"/>
            <w:left w:w="0" w:type="dxa"/>
            <w:bottom w:w="0" w:type="dxa"/>
            <w:right w:w="0" w:type="dxa"/>
          </w:tblCellMar>
        </w:tblPrEx>
        <w:trPr>
          <w:trHeight w:val="9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99"/>
              <w:pageBreakBefore w:val="0"/>
              <w:kinsoku/>
              <w:wordWrap/>
              <w:topLinePunct w:val="0"/>
              <w:bidi w:val="0"/>
              <w:adjustRightInd w:val="0"/>
              <w:snapToGrid w:val="0"/>
              <w:spacing w:before="157" w:beforeLines="50" w:after="157" w:afterLines="50" w:line="240" w:lineRule="auto"/>
              <w:jc w:val="both"/>
              <w:rPr>
                <w:lang w:val="en-US"/>
              </w:rPr>
            </w:pPr>
            <w:r>
              <w:rPr>
                <w:lang w:val="en-US"/>
              </w:rPr>
              <w:t>Power State</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99"/>
              <w:pageBreakBefore w:val="0"/>
              <w:kinsoku/>
              <w:wordWrap/>
              <w:topLinePunct w:val="0"/>
              <w:bidi w:val="0"/>
              <w:adjustRightInd w:val="0"/>
              <w:snapToGrid w:val="0"/>
              <w:spacing w:before="157" w:beforeLines="50" w:after="157" w:afterLines="50" w:line="240" w:lineRule="auto"/>
              <w:jc w:val="both"/>
              <w:rPr>
                <w:lang w:val="en-US"/>
              </w:rPr>
            </w:pPr>
            <w:r>
              <w:rPr>
                <w:lang w:val="en-US"/>
              </w:rPr>
              <w:t>Characteristics</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99"/>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Relative Power </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Deep Sleep</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Time interval for the sleep should be larger than the total transition time entering and leaving this state. Accurate timing may not be maintained.</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1 </w:t>
            </w:r>
            <w:r>
              <w:rPr>
                <w:lang w:val="en-US"/>
              </w:rPr>
              <w:br w:type="textWrapping"/>
            </w:r>
            <w:r>
              <w:rPr>
                <w:lang w:val="en-US"/>
              </w:rPr>
              <w:t>(Optional: 0.5)</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Light Sleep</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Time interval for the sleep should be larger than the total transition time entering and leaving this state.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20</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Micro sleep</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Immediate transition is assumed for power saving study purpose from or to a non-sleep state</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45</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PDCCH-only</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No PDSCH and same-slot scheduling; this includes time for PDCCH decoding and any micro-sleep within the slot.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100</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SSB or </w:t>
            </w:r>
            <w:r>
              <w:rPr>
                <w:lang w:val="en-US"/>
              </w:rPr>
              <w:br w:type="textWrapping"/>
            </w:r>
            <w:r>
              <w:rPr>
                <w:lang w:val="en-US"/>
              </w:rPr>
              <w:t>CSI-RS proc.</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SSB can be used for fine time-frequency sync. and RSRP measurement of the serving/camping cell. TRS is the considered CSI-RS for sync. FFS the power scaling for processing other configurations of CSI-RS.</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100</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PDCCH + PDSCH</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PDCCH + PDSCH. ACK/NACK in long PUCCH is modeled by UL power state.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300 </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UL</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Long PUCCH or PUSCH.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250 (0 dBm)</w:t>
            </w:r>
          </w:p>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700 (23 dBm)</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p>
    <w:p>
      <w:pPr>
        <w:pStyle w:val="88"/>
        <w:pageBreakBefore w:val="0"/>
        <w:kinsoku/>
        <w:wordWrap/>
        <w:topLinePunct w:val="0"/>
        <w:bidi w:val="0"/>
        <w:adjustRightInd w:val="0"/>
        <w:snapToGrid w:val="0"/>
        <w:spacing w:before="157" w:beforeLines="50" w:after="157" w:afterLines="50" w:line="240" w:lineRule="auto"/>
        <w:rPr>
          <w:color w:val="auto"/>
          <w:lang w:val="en-US"/>
        </w:rPr>
      </w:pPr>
      <w:r>
        <w:rPr>
          <w:color w:val="auto"/>
        </w:rPr>
        <w:t>Table 19: UE power consumption during the state transistion</w:t>
      </w:r>
    </w:p>
    <w:tbl>
      <w:tblPr>
        <w:tblStyle w:val="56"/>
        <w:tblW w:w="4998" w:type="pct"/>
        <w:jc w:val="center"/>
        <w:tblLayout w:type="autofit"/>
        <w:tblCellMar>
          <w:top w:w="0" w:type="dxa"/>
          <w:left w:w="0" w:type="dxa"/>
          <w:bottom w:w="0" w:type="dxa"/>
          <w:right w:w="0" w:type="dxa"/>
        </w:tblCellMar>
      </w:tblPr>
      <w:tblGrid>
        <w:gridCol w:w="1869"/>
        <w:gridCol w:w="3504"/>
        <w:gridCol w:w="3937"/>
      </w:tblGrid>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199"/>
              <w:pageBreakBefore w:val="0"/>
              <w:kinsoku/>
              <w:wordWrap/>
              <w:topLinePunct w:val="0"/>
              <w:bidi w:val="0"/>
              <w:adjustRightInd w:val="0"/>
              <w:snapToGrid w:val="0"/>
              <w:spacing w:before="157" w:beforeLines="50" w:after="157" w:afterLines="50" w:line="240" w:lineRule="auto"/>
              <w:jc w:val="both"/>
              <w:rPr>
                <w:lang w:val="en-US"/>
              </w:rPr>
            </w:pPr>
            <w:r>
              <w:rPr>
                <w:lang w:val="en-US"/>
              </w:rPr>
              <w:t>Sleep type</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199"/>
              <w:pageBreakBefore w:val="0"/>
              <w:kinsoku/>
              <w:wordWrap/>
              <w:topLinePunct w:val="0"/>
              <w:bidi w:val="0"/>
              <w:adjustRightInd w:val="0"/>
              <w:snapToGrid w:val="0"/>
              <w:spacing w:before="157" w:beforeLines="50" w:after="157" w:afterLines="50" w:line="240" w:lineRule="auto"/>
              <w:jc w:val="both"/>
              <w:rPr>
                <w:lang w:val="en-US"/>
              </w:rPr>
            </w:pPr>
            <w:r>
              <w:rPr>
                <w:lang w:val="en-US"/>
              </w:rPr>
              <w:t>Additional transition energy:</w:t>
            </w:r>
          </w:p>
          <w:p>
            <w:pPr>
              <w:pStyle w:val="199"/>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(Relative power x  ms)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199"/>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Total transition time </w:t>
            </w:r>
          </w:p>
        </w:tc>
      </w:tr>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Deep sleep </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450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20 ms </w:t>
            </w:r>
          </w:p>
        </w:tc>
      </w:tr>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Light sleep </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100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6 ms </w:t>
            </w:r>
          </w:p>
        </w:tc>
      </w:tr>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Micro sleep </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0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pageBreakBefore w:val="0"/>
              <w:kinsoku/>
              <w:wordWrap/>
              <w:topLinePunct w:val="0"/>
              <w:bidi w:val="0"/>
              <w:adjustRightInd w:val="0"/>
              <w:snapToGrid w:val="0"/>
              <w:spacing w:before="157" w:beforeLines="50" w:after="157" w:afterLines="50" w:line="240" w:lineRule="auto"/>
              <w:jc w:val="both"/>
              <w:rPr>
                <w:lang w:val="en-US"/>
              </w:rPr>
            </w:pPr>
            <w:r>
              <w:rPr>
                <w:lang w:val="en-US"/>
              </w:rPr>
              <w:t xml:space="preserve">0 ms* </w:t>
            </w:r>
          </w:p>
        </w:tc>
      </w:tr>
      <w:tr>
        <w:tblPrEx>
          <w:tblCellMar>
            <w:top w:w="0" w:type="dxa"/>
            <w:left w:w="0" w:type="dxa"/>
            <w:bottom w:w="0" w:type="dxa"/>
            <w:right w:w="0" w:type="dxa"/>
          </w:tblCellMar>
        </w:tblPrEx>
        <w:trPr>
          <w:trHeight w:val="20" w:hRule="atLeast"/>
          <w:jc w:val="center"/>
        </w:trPr>
        <w:tc>
          <w:tcPr>
            <w:tcW w:w="5000" w:type="pct"/>
            <w:gridSpan w:val="3"/>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263"/>
              <w:pageBreakBefore w:val="0"/>
              <w:kinsoku/>
              <w:wordWrap/>
              <w:topLinePunct w:val="0"/>
              <w:bidi w:val="0"/>
              <w:adjustRightInd w:val="0"/>
              <w:snapToGrid w:val="0"/>
              <w:spacing w:before="157" w:beforeLines="50" w:after="157" w:afterLines="50" w:line="240" w:lineRule="auto"/>
              <w:jc w:val="both"/>
              <w:rPr>
                <w:lang w:val="en-US"/>
              </w:rPr>
            </w:pPr>
            <w:r>
              <w:rPr>
                <w:lang w:val="en-US"/>
              </w:rPr>
              <w:t>*</w:t>
            </w:r>
            <w:r>
              <w:rPr>
                <w:lang w:val="en-US"/>
              </w:rPr>
              <w:tab/>
            </w:r>
            <w:r>
              <w:rPr>
                <w:lang w:val="en-US"/>
              </w:rPr>
              <w:t>Immediate transition is assumed for power saving study purpose from or to a non-sleep state</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It can be seen that the state transition power </w:t>
      </w:r>
      <w:r>
        <w:rPr>
          <w:rFonts w:ascii="Times New Roman" w:hAnsi="Times New Roman"/>
          <w:sz w:val="20"/>
          <w:szCs w:val="20"/>
          <w:lang w:eastAsia="zh-CN"/>
        </w:rPr>
        <w:t xml:space="preserve">(from active mode to sleep mode, or from sleep mode to active mode) </w:t>
      </w:r>
      <w:r>
        <w:rPr>
          <w:rFonts w:hint="eastAsia" w:ascii="Times New Roman" w:hAnsi="Times New Roman"/>
          <w:sz w:val="20"/>
          <w:szCs w:val="20"/>
          <w:lang w:val="en-US" w:eastAsia="zh-CN"/>
        </w:rPr>
        <w:t xml:space="preserve">is the highest among all the UE actions. If DL/DL+UL positioning service triggers at RRC_INACTIVE/RRC_IDLE and UE has to receive periodic PRS, it will lead to huge ramp-up/ramp-down power consumption when UE frequently transits from deep sleep/light sleep to active state in order to receive each PRS instance. Therefore, reducing the number of state transition in PRS reception is </w:t>
      </w:r>
      <w:r>
        <w:rPr>
          <w:rFonts w:ascii="Times New Roman" w:hAnsi="Times New Roman"/>
          <w:sz w:val="20"/>
          <w:szCs w:val="20"/>
          <w:lang w:val="en-US" w:eastAsia="zh-CN"/>
        </w:rPr>
        <w:t xml:space="preserve">one of </w:t>
      </w:r>
      <w:r>
        <w:rPr>
          <w:rFonts w:hint="eastAsia" w:ascii="Times New Roman" w:hAnsi="Times New Roman"/>
          <w:sz w:val="20"/>
          <w:szCs w:val="20"/>
          <w:lang w:val="en-US" w:eastAsia="zh-CN"/>
        </w:rPr>
        <w:t>a key enhancement for the purpose of DL positioning power saving. In general, there are several ways for reducing the number of state transition when receiving PRS in RRC_INACTIVE or RRC_IDLE.</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sz w:val="22"/>
          <w:szCs w:val="28"/>
          <w:lang w:val="en-US" w:eastAsia="zh-CN"/>
        </w:rPr>
      </w:pPr>
      <w:r>
        <w:rPr>
          <w:rFonts w:hint="eastAsia"/>
          <w:sz w:val="22"/>
          <w:szCs w:val="28"/>
          <w:lang w:val="en-US" w:eastAsia="zh-CN"/>
        </w:rPr>
        <w:t xml:space="preserve"> Simplified PRS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most straightforward way is to reduce the number of PRS resource or reduce the receive power of a single PRS resource in RRC_INACTIVE/RRC_IDLE for LPHAP UE. This can be achieved by LMF to configure concise PRS configuration, For example the PRS frequency layer for LPHAP UE is limited to 1, </w:t>
      </w:r>
      <w:r>
        <w:rPr>
          <w:rFonts w:ascii="Times New Roman" w:hAnsi="Times New Roman"/>
          <w:sz w:val="20"/>
          <w:szCs w:val="20"/>
          <w:lang w:val="en-US" w:eastAsia="zh-CN"/>
        </w:rPr>
        <w:t xml:space="preserve">the PRS symbol is limited to 1, </w:t>
      </w:r>
      <w:r>
        <w:rPr>
          <w:rFonts w:hint="eastAsia" w:ascii="Times New Roman" w:hAnsi="Times New Roman"/>
          <w:sz w:val="20"/>
          <w:szCs w:val="20"/>
          <w:lang w:val="en-US" w:eastAsia="zh-CN"/>
        </w:rPr>
        <w:t>or the configured TRP number is reduced, etc. The prerequisite is that LMF needs to know this is a LPHAP UE. Note that this doesn</w:t>
      </w:r>
      <w:r>
        <w:rPr>
          <w:rFonts w:ascii="Times New Roman" w:hAnsi="Times New Roman"/>
          <w:sz w:val="20"/>
          <w:szCs w:val="20"/>
          <w:lang w:val="en-US" w:eastAsia="zh-CN"/>
        </w:rPr>
        <w:t>’</w:t>
      </w:r>
      <w:r>
        <w:rPr>
          <w:rFonts w:hint="eastAsia" w:ascii="Times New Roman" w:hAnsi="Times New Roman"/>
          <w:sz w:val="20"/>
          <w:szCs w:val="20"/>
          <w:lang w:val="en-US" w:eastAsia="zh-CN"/>
        </w:rPr>
        <w:t>t mean LMF is aware of LPHAP UE</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s RRC state, because </w:t>
      </w:r>
      <w:r>
        <w:rPr>
          <w:rFonts w:ascii="Times New Roman" w:hAnsi="Times New Roman"/>
          <w:sz w:val="20"/>
          <w:szCs w:val="20"/>
          <w:lang w:val="en-US" w:eastAsia="zh-CN"/>
        </w:rPr>
        <w:t>it is</w:t>
      </w:r>
      <w:r>
        <w:rPr>
          <w:rFonts w:hint="eastAsia" w:ascii="Times New Roman" w:hAnsi="Times New Roman"/>
          <w:sz w:val="20"/>
          <w:szCs w:val="20"/>
          <w:lang w:val="en-US" w:eastAsia="zh-CN"/>
        </w:rPr>
        <w:t xml:space="preserve"> assume</w:t>
      </w:r>
      <w:r>
        <w:rPr>
          <w:rFonts w:ascii="Times New Roman" w:hAnsi="Times New Roman"/>
          <w:sz w:val="20"/>
          <w:szCs w:val="20"/>
          <w:lang w:val="en-US" w:eastAsia="zh-CN"/>
        </w:rPr>
        <w:t>d that</w:t>
      </w:r>
      <w:r>
        <w:rPr>
          <w:rFonts w:hint="eastAsia" w:ascii="Times New Roman" w:hAnsi="Times New Roman"/>
          <w:sz w:val="20"/>
          <w:szCs w:val="20"/>
          <w:lang w:val="en-US" w:eastAsia="zh-CN"/>
        </w:rPr>
        <w:t xml:space="preserve"> LPHAP UE is always in RRC_INACTIVE/RRC_IDLE state.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Therefore, the specification impact of this solution might be that adding new candidate values in the assistance data.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Support LMF to provide low capability PRS configuration to LPHAP UE.</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sz w:val="22"/>
          <w:szCs w:val="28"/>
          <w:lang w:val="en-US" w:eastAsia="zh-CN"/>
        </w:rPr>
      </w:pPr>
      <w:r>
        <w:rPr>
          <w:rFonts w:hint="eastAsia"/>
          <w:sz w:val="22"/>
          <w:szCs w:val="28"/>
          <w:lang w:val="en-US" w:eastAsia="zh-CN"/>
        </w:rPr>
        <w:t xml:space="preserve"> PRS is configured close to SSBs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the previous discussion, some companies mentioned a similar solution that the PRS should be aligned with DRX cycle. However in RRC_INACTIVE/RRC_IDLE, only paging cycle, PO and PF are specified and configured, there is no explicit DRX on and DRX off rule as that in RRC_CONNECTED. During the PO period, the UE can be assumed as in DRX on state, however during the time when the UE is not in a PO but in the RC_INACTIVE period, UE still needs to receive SSB and possibly the SIB. That is to say, even if UE is restricted to receive PRS only in the PO, UE still needs to receive SSB that are not in the PO, which can not save much UE power since UE wakes up to receive SSB will anyway cause transition power. Therefore, RAN2 should consider this and design enhancements between PRS and PO, or PRS with SSB in RRC_INACTIVE state.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There is no explicit DRX on and RDX off rule in RRC_INACTIVE/RRC_IDLE. Even if UE is restricted to receive PRS only in the PO, UE still needs to receive SSB that are not in the PO, which can not save much UE power since UE wakes up to receive SSB will anyway cause much transition power.</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PRS and SSB are both periodical</w:t>
      </w:r>
      <w:r>
        <w:rPr>
          <w:rFonts w:ascii="Times New Roman" w:hAnsi="Times New Roman"/>
          <w:sz w:val="20"/>
          <w:szCs w:val="20"/>
          <w:lang w:eastAsia="zh-CN"/>
        </w:rPr>
        <w:t xml:space="preserve"> and can be received during RRC_INACTIVE/RRC_IDLE state</w:t>
      </w:r>
      <w:r>
        <w:rPr>
          <w:rFonts w:hint="eastAsia" w:ascii="Times New Roman" w:hAnsi="Times New Roman"/>
          <w:sz w:val="20"/>
          <w:szCs w:val="20"/>
          <w:lang w:val="en-US" w:eastAsia="zh-CN"/>
        </w:rPr>
        <w:t xml:space="preserve">. As can be seen in the figure 1, if the time offset between a PRS and a SSB is within 6 ms, UE will be in micro sleep and </w:t>
      </w:r>
      <w:r>
        <w:rPr>
          <w:rFonts w:ascii="Times New Roman" w:hAnsi="Times New Roman"/>
          <w:sz w:val="20"/>
          <w:szCs w:val="20"/>
          <w:lang w:eastAsia="zh-CN"/>
        </w:rPr>
        <w:t>doesn’t consume ramp-up/ramp-down power</w:t>
      </w:r>
      <w:r>
        <w:rPr>
          <w:rFonts w:hint="eastAsia" w:ascii="Times New Roman" w:hAnsi="Times New Roman"/>
          <w:sz w:val="20"/>
          <w:szCs w:val="20"/>
          <w:lang w:val="en-US" w:eastAsia="zh-CN"/>
        </w:rPr>
        <w:t xml:space="preserve"> according to Table 19 in 38.840. </w:t>
      </w:r>
      <w:r>
        <w:rPr>
          <w:rFonts w:ascii="Times New Roman" w:hAnsi="Times New Roman"/>
          <w:sz w:val="20"/>
          <w:szCs w:val="20"/>
          <w:lang w:val="en-US" w:eastAsia="zh-CN"/>
        </w:rPr>
        <w:t>T</w:t>
      </w:r>
      <w:r>
        <w:rPr>
          <w:rFonts w:hint="eastAsia" w:ascii="Times New Roman" w:hAnsi="Times New Roman"/>
          <w:sz w:val="20"/>
          <w:szCs w:val="20"/>
          <w:lang w:val="en-US" w:eastAsia="zh-CN"/>
        </w:rPr>
        <w:t>herefore, one way is to configure PRS to be close with SSB</w:t>
      </w:r>
      <w:r>
        <w:rPr>
          <w:rFonts w:ascii="Times New Roman" w:hAnsi="Times New Roman"/>
          <w:sz w:val="20"/>
          <w:szCs w:val="20"/>
          <w:lang w:val="en-US" w:eastAsia="zh-CN"/>
        </w:rPr>
        <w:t>’</w:t>
      </w:r>
      <w:r>
        <w:rPr>
          <w:rFonts w:hint="eastAsia" w:ascii="Times New Roman" w:hAnsi="Times New Roman"/>
          <w:sz w:val="20"/>
          <w:szCs w:val="20"/>
          <w:lang w:val="en-US" w:eastAsia="zh-CN"/>
        </w:rPr>
        <w:t>s time position to reduce state transition power.</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3609340" cy="2807970"/>
            <wp:effectExtent l="0" t="0" r="0" b="11430"/>
            <wp:docPr id="1" name="图片 1"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1"/>
                    <pic:cNvPicPr>
                      <a:picLocks noChangeAspect="1"/>
                    </pic:cNvPicPr>
                  </pic:nvPicPr>
                  <pic:blipFill>
                    <a:blip r:embed="rId9"/>
                    <a:stretch>
                      <a:fillRect/>
                    </a:stretch>
                  </pic:blipFill>
                  <pic:spPr>
                    <a:xfrm>
                      <a:off x="0" y="0"/>
                      <a:ext cx="3609340" cy="280797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t>Figure 1. Example of PRS and SSB power consumption when different sleep mode applies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The issue is how to align PRS configuration and SSB configuration in time domain. PRS is configured by each TRP and gathered by LMF, in the meanwhile, the time domain position of SSB is determined per frequency band, different </w:t>
      </w:r>
      <w:r>
        <w:rPr>
          <w:rFonts w:ascii="Times New Roman" w:hAnsi="Times New Roman"/>
          <w:sz w:val="20"/>
          <w:szCs w:val="20"/>
          <w:lang w:eastAsia="zh-CN"/>
        </w:rPr>
        <w:t>TRPs/</w:t>
      </w:r>
      <w:r>
        <w:rPr>
          <w:rFonts w:hint="eastAsia" w:ascii="Times New Roman" w:hAnsi="Times New Roman"/>
          <w:sz w:val="20"/>
          <w:szCs w:val="20"/>
          <w:lang w:val="en-US" w:eastAsia="zh-CN"/>
        </w:rPr>
        <w:t>cells having different frequency bands own the different SSB time position, and this is gathered by gNB. So when each TRP configures PRS based on LMF</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s request, the TRP can configure the PRS periodicity and/or slot/symbol offset to be close with its SSB time position. Therefore, the specification impact is that, </w:t>
      </w:r>
      <w:r>
        <w:rPr>
          <w:rFonts w:ascii="Times New Roman" w:hAnsi="Times New Roman"/>
          <w:sz w:val="20"/>
          <w:szCs w:val="20"/>
          <w:lang w:eastAsia="zh-CN"/>
        </w:rPr>
        <w:t>LMF</w:t>
      </w:r>
      <w:r>
        <w:rPr>
          <w:rFonts w:hint="eastAsia" w:ascii="Times New Roman" w:hAnsi="Times New Roman"/>
          <w:sz w:val="20"/>
          <w:szCs w:val="20"/>
          <w:lang w:val="en-US" w:eastAsia="zh-CN"/>
        </w:rPr>
        <w:t xml:space="preserve"> sends</w:t>
      </w:r>
      <w:r>
        <w:rPr>
          <w:rFonts w:ascii="Times New Roman" w:hAnsi="Times New Roman"/>
          <w:sz w:val="20"/>
          <w:szCs w:val="20"/>
          <w:lang w:eastAsia="zh-CN"/>
        </w:rPr>
        <w:t xml:space="preserve"> explicit request to TRPs</w:t>
      </w:r>
      <w:r>
        <w:rPr>
          <w:rFonts w:hint="eastAsia" w:ascii="Times New Roman" w:hAnsi="Times New Roman"/>
          <w:sz w:val="20"/>
          <w:szCs w:val="20"/>
          <w:lang w:val="en-US" w:eastAsia="zh-CN"/>
        </w:rPr>
        <w:t xml:space="preserve"> for configuring PRS to align with SSB, then TRPs returns the configured PRS configuration to LMF. In addition, from our point of view this is the enhancement that RAN2 and/or RAN3 should take care of, with the signaling procedures involved.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Support RAN2 to study PRS configuration to align with SSBs. </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sz w:val="22"/>
          <w:szCs w:val="28"/>
          <w:lang w:val="en-US" w:eastAsia="zh-CN"/>
        </w:rPr>
      </w:pPr>
      <w:r>
        <w:rPr>
          <w:rFonts w:hint="eastAsia"/>
          <w:sz w:val="22"/>
          <w:szCs w:val="28"/>
          <w:lang w:val="en-US" w:eastAsia="zh-CN"/>
        </w:rPr>
        <w:t xml:space="preserve"> PRS reception is limited in a time period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Periodic PRSs come from multiple TRPs and may </w:t>
      </w:r>
      <w:r>
        <w:rPr>
          <w:rFonts w:ascii="Times New Roman" w:hAnsi="Times New Roman"/>
          <w:sz w:val="20"/>
          <w:szCs w:val="20"/>
          <w:lang w:val="en-US" w:eastAsia="zh-CN"/>
        </w:rPr>
        <w:t xml:space="preserve">be </w:t>
      </w:r>
      <w:r>
        <w:rPr>
          <w:rFonts w:ascii="Times New Roman" w:hAnsi="Times New Roman"/>
          <w:sz w:val="20"/>
          <w:szCs w:val="20"/>
        </w:rPr>
        <w:t>distributed in different slots with long interval</w:t>
      </w:r>
      <w:r>
        <w:rPr>
          <w:rFonts w:hint="eastAsia" w:ascii="Times New Roman" w:hAnsi="Times New Roman"/>
          <w:sz w:val="20"/>
          <w:szCs w:val="20"/>
          <w:lang w:val="en-US" w:eastAsia="zh-CN"/>
        </w:rPr>
        <w:t xml:space="preserve"> during RRC_INACTIVE/IDLE. From the above analysis, the more individual PRS instances exist, the higher ramp-up/ramp-down power generate</w:t>
      </w:r>
      <w:r>
        <w:rPr>
          <w:rFonts w:ascii="Times New Roman" w:hAnsi="Times New Roman"/>
          <w:sz w:val="20"/>
          <w:szCs w:val="20"/>
          <w:lang w:val="en-US" w:eastAsia="zh-CN"/>
        </w:rPr>
        <w:t>s</w:t>
      </w:r>
      <w:r>
        <w:rPr>
          <w:rFonts w:hint="eastAsia" w:ascii="Times New Roman" w:hAnsi="Times New Roman"/>
          <w:sz w:val="20"/>
          <w:szCs w:val="20"/>
          <w:lang w:val="en-US" w:eastAsia="zh-CN"/>
        </w:rPr>
        <w:t>. Another way to reduce the number of state transition is to configure PRS reception only in a limited time period</w:t>
      </w:r>
      <w:r>
        <w:rPr>
          <w:rFonts w:ascii="Times New Roman" w:hAnsi="Times New Roman"/>
          <w:sz w:val="20"/>
          <w:szCs w:val="20"/>
          <w:lang w:val="en-US" w:eastAsia="zh-CN"/>
        </w:rPr>
        <w:t xml:space="preserve"> within the duration of RRC_INACTIVE/IDLE</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Like figure 2 indicates</w:t>
      </w:r>
      <w:r>
        <w:rPr>
          <w:rFonts w:hint="eastAsia" w:ascii="Times New Roman" w:hAnsi="Times New Roman"/>
          <w:sz w:val="20"/>
          <w:szCs w:val="20"/>
          <w:lang w:val="en-US" w:eastAsia="zh-CN"/>
        </w:rPr>
        <w:t>, this time period, also can call it PRS reception window,</w:t>
      </w:r>
      <w:r>
        <w:rPr>
          <w:rFonts w:ascii="Times New Roman" w:hAnsi="Times New Roman"/>
          <w:sz w:val="20"/>
          <w:szCs w:val="20"/>
          <w:lang w:val="en-US" w:eastAsia="zh-CN"/>
        </w:rPr>
        <w:t xml:space="preserve"> restricts the number of PRS instances so that the total power of receiving PRS can be decreased.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drawing>
          <wp:inline distT="0" distB="0" distL="0" distR="0">
            <wp:extent cx="5731510" cy="1652270"/>
            <wp:effectExtent l="0" t="0" r="254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165227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t xml:space="preserve">Figure 2. Example of PRS </w:t>
      </w:r>
      <w:r>
        <w:rPr>
          <w:rFonts w:ascii="Times New Roman" w:hAnsi="Times New Roman"/>
          <w:sz w:val="20"/>
          <w:szCs w:val="20"/>
          <w:lang w:val="en-US" w:eastAsia="zh-CN"/>
        </w:rPr>
        <w:t>reception window in RRC_INACTIVE/RRC_IDLE</w:t>
      </w:r>
    </w:p>
    <w:p>
      <w:pPr>
        <w:pageBreakBefore w:val="0"/>
        <w:widowControl/>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RAN4#104e[4] meeting has also achieved the following agreement: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GtW Agreement:</w:t>
            </w:r>
          </w:p>
          <w:p>
            <w:pPr>
              <w:pageBreakBefore w:val="0"/>
              <w:widowControl/>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Requirements for PRS measurement in INACTIVE apply provided that all PRS resources within a PFL are configured within up to [2] separate windows within [Tavailable], where each window is up to [5 or 10] ms.</w:t>
            </w:r>
          </w:p>
          <w:p>
            <w:pPr>
              <w:pageBreakBefore w:val="0"/>
              <w:widowControl/>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FFS on the location of windows.</w:t>
            </w:r>
          </w:p>
          <w:p>
            <w:pPr>
              <w:pageBreakBefore w:val="0"/>
              <w:widowControl/>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sz w:val="20"/>
                <w:szCs w:val="20"/>
                <w:vertAlign w:val="baseline"/>
                <w:lang w:val="en-US" w:eastAsia="zh-CN"/>
              </w:rPr>
            </w:pPr>
            <w:r>
              <w:rPr>
                <w:rFonts w:hint="eastAsia" w:ascii="Times New Roman" w:hAnsi="Times New Roman" w:cs="Times New Roman"/>
                <w:sz w:val="20"/>
                <w:szCs w:val="20"/>
                <w:lang w:val="en-US" w:eastAsia="zh-CN"/>
              </w:rPr>
              <w:t>FFS on whether there is impact on signalling</w:t>
            </w:r>
          </w:p>
        </w:tc>
      </w:tr>
    </w:tbl>
    <w:p>
      <w:pPr>
        <w:pageBreakBefore w:val="0"/>
        <w:widowControl/>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RAN4 has already agreed to add the PRS reception window in RRC_INACTIVE. From RAN2 perspective, There are up to 2 windows within Tavailable, the window length is 5 or 10 ms. As for the parameters of the start time of the window, there may exist several ways:</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Configure absolute time</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Configure time offset between the window start and the PO in one paging cycle</w:t>
      </w:r>
    </w:p>
    <w:p>
      <w:pPr>
        <w:pageBreakBefore w:val="0"/>
        <w:widowControl/>
        <w:numPr>
          <w:numId w:val="0"/>
        </w:numPr>
        <w:kinsoku/>
        <w:wordWrap/>
        <w:topLinePunct w:val="0"/>
        <w:autoSpaceDE w:val="0"/>
        <w:autoSpaceDN w:val="0"/>
        <w:bidi w:val="0"/>
        <w:adjustRightInd w:val="0"/>
        <w:snapToGrid w:val="0"/>
        <w:spacing w:before="157" w:beforeLines="50" w:after="157" w:afterLines="50" w:line="240" w:lineRule="auto"/>
        <w:ind w:left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As RAN4 will decide the detail of location of windows, from RAN2 perspective, f</w:t>
      </w:r>
      <w:r>
        <w:rPr>
          <w:rFonts w:ascii="Times New Roman" w:hAnsi="Times New Roman"/>
          <w:sz w:val="20"/>
          <w:szCs w:val="20"/>
          <w:lang w:val="en-US" w:eastAsia="zh-CN"/>
        </w:rPr>
        <w:t>urther issue is that whether the PRS reception window can be configured by LMF or the serving gNB</w:t>
      </w:r>
      <w:r>
        <w:rPr>
          <w:rFonts w:hint="eastAsia" w:ascii="Times New Roman" w:hAnsi="Times New Roman"/>
          <w:sz w:val="20"/>
          <w:szCs w:val="20"/>
          <w:lang w:val="en-US" w:eastAsia="zh-CN"/>
        </w:rPr>
        <w:t>, and the corresponding possible specification impact are listed as below:</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ascii="Times New Roman" w:hAnsi="Times New Roman"/>
          <w:sz w:val="20"/>
          <w:szCs w:val="20"/>
          <w:u w:val="single"/>
          <w:lang w:val="en-US" w:eastAsia="zh-CN"/>
        </w:rPr>
      </w:pPr>
      <w:r>
        <w:rPr>
          <w:rFonts w:ascii="Times New Roman" w:hAnsi="Times New Roman"/>
          <w:sz w:val="20"/>
          <w:szCs w:val="20"/>
          <w:lang w:val="en-US" w:eastAsia="zh-CN"/>
        </w:rPr>
        <w:t>I</w:t>
      </w:r>
      <w:r>
        <w:rPr>
          <w:rFonts w:hint="eastAsia" w:ascii="Times New Roman" w:hAnsi="Times New Roman"/>
          <w:sz w:val="20"/>
          <w:szCs w:val="20"/>
          <w:lang w:val="en-US" w:eastAsia="zh-CN"/>
        </w:rPr>
        <w:t>f the PRS reception window is configured by serving gNB like PPW configuration in RRC_CONNECTED state, UE may not be able to apply PRS reception window after cell re-selection occurs.</w:t>
      </w:r>
      <w:r>
        <w:rPr>
          <w:rFonts w:ascii="Times New Roman" w:hAnsi="Times New Roman"/>
          <w:sz w:val="20"/>
          <w:szCs w:val="20"/>
          <w:lang w:eastAsia="zh-CN"/>
        </w:rPr>
        <w:t xml:space="preserve"> This can be resolved by configure the PRS reception window per RNA rather than per cell. </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ascii="Times New Roman" w:hAnsi="Times New Roman"/>
          <w:sz w:val="20"/>
          <w:szCs w:val="20"/>
          <w:u w:val="single"/>
          <w:lang w:val="en-US" w:eastAsia="zh-CN"/>
        </w:rPr>
      </w:pPr>
      <w:r>
        <w:rPr>
          <w:rFonts w:ascii="Times New Roman" w:hAnsi="Times New Roman"/>
          <w:sz w:val="20"/>
          <w:szCs w:val="20"/>
          <w:lang w:eastAsia="zh-CN"/>
        </w:rPr>
        <w:t xml:space="preserve">The PRS reception window can also be configured by LMF for LPHAP UE, and this will always on until the end of positioning session. </w:t>
      </w:r>
      <w:r>
        <w:rPr>
          <w:rFonts w:hint="eastAsia" w:ascii="Times New Roman" w:hAnsi="Times New Roman"/>
          <w:sz w:val="20"/>
          <w:szCs w:val="20"/>
          <w:lang w:val="en-US" w:eastAsia="zh-CN"/>
        </w:rPr>
        <w:t>With this solution, LMF will have to acquire the paging cycle related configurations from gNB.</w:t>
      </w:r>
    </w:p>
    <w:p>
      <w:pPr>
        <w:pageBreakBefore w:val="0"/>
        <w:widowControl/>
        <w:numPr>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b/>
          <w:bCs/>
          <w:i/>
          <w:iCs/>
          <w:sz w:val="20"/>
          <w:szCs w:val="20"/>
          <w:u w:val="single"/>
          <w:lang w:val="en-US" w:eastAsia="zh-CN"/>
        </w:rPr>
      </w:pPr>
      <w:r>
        <w:rPr>
          <w:rFonts w:hint="eastAsia" w:ascii="Times New Roman" w:hAnsi="Times New Roman"/>
          <w:b/>
          <w:bCs/>
          <w:i/>
          <w:iCs/>
          <w:sz w:val="20"/>
          <w:szCs w:val="20"/>
          <w:lang w:val="en-US" w:eastAsia="zh-CN"/>
        </w:rPr>
        <w:t>Observation 2: RAN4 has agreed to introduce PRS reception window in RRC_INACTIVE state.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Support RAN2 to further study the configuration of PRS reception window in RRC_INACTIVE, especially on whether the PRS reception window should be configured by LMF or the serving gNB.</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sz w:val="24"/>
          <w:szCs w:val="28"/>
          <w:lang w:val="en-US" w:eastAsia="zh-CN"/>
        </w:rPr>
        <w:t xml:space="preserve"> UL/DL+UL positioning enhancement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Rel-17, the following agreements are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Agreement of RAN2#116-bis:</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SRSp configuration is considered as invalid if TA is not valid.</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When cell reselection is performed and UE initiates RRC resume procedure to the cell which is different from the cell in which the SRSp is configured, the TA timer configuration for SRS should be released.</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SRSp configuration is released when the UE sends RRCResumeRequest to a cell other than the cell where it is released to RRC_INACTIVE state.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Agreement of RAN2#117:</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TA timer configuration of SRS for positioning (SRSp) is invalidated upon any cell reselection (i.e. even if the UE does not initiate the RRC resume procedure) </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These agreements indicate that, the SRS configuration for RRC_INACTIVE is only restricted in the serving cell that the UE connects lastly. If </w:t>
      </w:r>
      <w:r>
        <w:rPr>
          <w:rFonts w:ascii="Times New Roman" w:hAnsi="Times New Roman"/>
          <w:sz w:val="20"/>
          <w:szCs w:val="20"/>
          <w:lang w:val="en-US" w:eastAsia="zh-CN"/>
        </w:rPr>
        <w:t xml:space="preserve">inactive </w:t>
      </w:r>
      <w:r>
        <w:rPr>
          <w:rFonts w:hint="eastAsia" w:ascii="Times New Roman" w:hAnsi="Times New Roman"/>
          <w:sz w:val="20"/>
          <w:szCs w:val="20"/>
          <w:lang w:val="en-US" w:eastAsia="zh-CN"/>
        </w:rPr>
        <w:t>UE moves to another cell and cell re-selection is performed</w:t>
      </w:r>
      <w:r>
        <w:rPr>
          <w:rFonts w:ascii="Times New Roman" w:hAnsi="Times New Roman"/>
          <w:sz w:val="20"/>
          <w:szCs w:val="20"/>
          <w:lang w:val="en-US" w:eastAsia="zh-CN"/>
        </w:rPr>
        <w:t xml:space="preserve"> (like figure 3 indicates)</w:t>
      </w:r>
      <w:r>
        <w:rPr>
          <w:rFonts w:hint="eastAsia" w:ascii="Times New Roman" w:hAnsi="Times New Roman"/>
          <w:sz w:val="20"/>
          <w:szCs w:val="20"/>
          <w:lang w:val="en-US" w:eastAsia="zh-CN"/>
        </w:rPr>
        <w:t xml:space="preserve"> while UE still needs positioning (which is very likely to happen in a large factory area as use</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 xml:space="preserve">case 6 indicates), UE has to </w:t>
      </w:r>
      <w:r>
        <w:rPr>
          <w:rFonts w:ascii="Times New Roman" w:hAnsi="Times New Roman"/>
          <w:sz w:val="20"/>
          <w:szCs w:val="20"/>
          <w:lang w:val="en-US" w:eastAsia="zh-CN"/>
        </w:rPr>
        <w:t>transition</w:t>
      </w:r>
      <w:r>
        <w:rPr>
          <w:rFonts w:hint="eastAsia" w:ascii="Times New Roman" w:hAnsi="Times New Roman"/>
          <w:sz w:val="20"/>
          <w:szCs w:val="20"/>
          <w:lang w:val="en-US" w:eastAsia="zh-CN"/>
        </w:rPr>
        <w:t xml:space="preserve"> to RRC_CONNECTED to receive new SRS configuration embedded in RRC reconfiguration every time UE performs cell re-selection. </w:t>
      </w:r>
      <w:r>
        <w:rPr>
          <w:rFonts w:ascii="Times New Roman" w:hAnsi="Times New Roman"/>
          <w:sz w:val="20"/>
          <w:szCs w:val="20"/>
          <w:lang w:val="en-US" w:eastAsia="zh-CN"/>
        </w:rPr>
        <w:t>T</w:t>
      </w:r>
      <w:r>
        <w:rPr>
          <w:rFonts w:hint="eastAsia" w:ascii="Times New Roman" w:hAnsi="Times New Roman"/>
          <w:sz w:val="20"/>
          <w:szCs w:val="20"/>
          <w:lang w:val="en-US" w:eastAsia="zh-CN"/>
        </w:rPr>
        <w:t>he frequent</w:t>
      </w:r>
      <w:r>
        <w:rPr>
          <w:rFonts w:ascii="Times New Roman" w:hAnsi="Times New Roman"/>
          <w:sz w:val="20"/>
          <w:szCs w:val="20"/>
          <w:lang w:val="en-US" w:eastAsia="zh-CN"/>
        </w:rPr>
        <w:t xml:space="preserve"> UE RRC</w:t>
      </w:r>
      <w:r>
        <w:rPr>
          <w:rFonts w:hint="eastAsia" w:ascii="Times New Roman" w:hAnsi="Times New Roman"/>
          <w:sz w:val="20"/>
          <w:szCs w:val="20"/>
          <w:lang w:val="en-US" w:eastAsia="zh-CN"/>
        </w:rPr>
        <w:t xml:space="preserve"> state transition will lead to a huge power waste. Therefore, Rel-18 should further enhance the UE mobility of UL positioning in RRC_INACTIVE, in order to ensure the low power consumption.</w:t>
      </w:r>
      <w:r>
        <w:rPr>
          <w:rFonts w:ascii="Times New Roman" w:hAnsi="Times New Roman"/>
          <w:sz w:val="20"/>
          <w:szCs w:val="20"/>
          <w:lang w:val="en-US" w:eastAsia="zh-CN"/>
        </w:rPr>
        <w:t xml:space="preserve"> </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drawing>
          <wp:inline distT="0" distB="0" distL="0" distR="0">
            <wp:extent cx="3311525" cy="1567180"/>
            <wp:effectExtent l="0" t="0" r="317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312000" cy="1567433"/>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hint="eastAsia" w:ascii="Times New Roman" w:hAnsi="Times New Roman"/>
          <w:sz w:val="20"/>
          <w:szCs w:val="20"/>
          <w:lang w:val="en-US" w:eastAsia="zh-CN"/>
        </w:rPr>
        <w:t xml:space="preserve">igure </w:t>
      </w:r>
      <w:r>
        <w:rPr>
          <w:rFonts w:ascii="Times New Roman" w:hAnsi="Times New Roman"/>
          <w:sz w:val="20"/>
          <w:szCs w:val="20"/>
          <w:lang w:val="en-US" w:eastAsia="zh-CN"/>
        </w:rPr>
        <w:t>3. SRS mobility in RRC_INACTIVE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general, this can be done through several options:</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ascii="Times New Roman" w:hAnsi="Times New Roman"/>
          <w:sz w:val="20"/>
          <w:szCs w:val="20"/>
          <w:lang w:val="en-US" w:eastAsia="zh-CN"/>
        </w:rPr>
      </w:pPr>
      <w:r>
        <w:rPr>
          <w:rFonts w:hint="eastAsia" w:ascii="Times New Roman" w:hAnsi="Times New Roman"/>
          <w:sz w:val="20"/>
          <w:szCs w:val="20"/>
          <w:lang w:val="en-US" w:eastAsia="zh-CN"/>
        </w:rPr>
        <w:t>Option 1: M</w:t>
      </w:r>
      <w:r>
        <w:rPr>
          <w:rFonts w:ascii="Times New Roman" w:hAnsi="Times New Roman"/>
          <w:sz w:val="20"/>
          <w:szCs w:val="20"/>
          <w:lang w:val="en-US" w:eastAsia="zh-CN"/>
        </w:rPr>
        <w:t xml:space="preserve">ultiple cell’s SRS configuration can be pre-configured </w:t>
      </w:r>
      <w:r>
        <w:rPr>
          <w:rFonts w:hint="eastAsia" w:ascii="Times New Roman" w:hAnsi="Times New Roman"/>
          <w:sz w:val="20"/>
          <w:szCs w:val="20"/>
          <w:lang w:val="en-US" w:eastAsia="zh-CN"/>
        </w:rPr>
        <w:t>by the serving gNB</w:t>
      </w:r>
    </w:p>
    <w:p>
      <w:pPr>
        <w:pageBreakBefore w:val="0"/>
        <w:widowControl/>
        <w:numPr>
          <w:ilvl w:val="0"/>
          <w:numId w:val="13"/>
        </w:numPr>
        <w:kinsoku/>
        <w:wordWrap/>
        <w:topLinePunct w:val="0"/>
        <w:autoSpaceDE w:val="0"/>
        <w:autoSpaceDN w:val="0"/>
        <w:bidi w:val="0"/>
        <w:adjustRightInd w:val="0"/>
        <w:snapToGrid w:val="0"/>
        <w:spacing w:before="157" w:beforeLines="50" w:after="157" w:afterLines="50" w:line="240" w:lineRule="auto"/>
        <w:ind w:left="84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In this way, the multiple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SRS configuration can be pre-configured by the last serving gNB that releases the UE into RRC_INACTIVE. Each SRS configuration can be associated with the cell ID, when UE re-selects to one cell, the corresponding SRS configuration of the cell should be adopted.</w:t>
      </w:r>
    </w:p>
    <w:p>
      <w:pPr>
        <w:pageBreakBefore w:val="0"/>
        <w:widowControl/>
        <w:numPr>
          <w:ilvl w:val="0"/>
          <w:numId w:val="14"/>
        </w:numPr>
        <w:kinsoku/>
        <w:wordWrap/>
        <w:topLinePunct w:val="0"/>
        <w:autoSpaceDE w:val="0"/>
        <w:autoSpaceDN w:val="0"/>
        <w:bidi w:val="0"/>
        <w:adjustRightInd w:val="0"/>
        <w:snapToGrid w:val="0"/>
        <w:spacing w:before="157" w:beforeLines="50" w:after="157" w:afterLines="50" w:line="240" w:lineRule="auto"/>
        <w:ind w:left="425" w:leftChars="0" w:hanging="425" w:firstLineChars="0"/>
        <w:rPr>
          <w:rFonts w:ascii="Times New Roman" w:hAnsi="Times New Roman"/>
          <w:sz w:val="20"/>
          <w:szCs w:val="20"/>
          <w:lang w:val="en-US" w:eastAsia="zh-CN"/>
        </w:rPr>
      </w:pPr>
      <w:r>
        <w:rPr>
          <w:rFonts w:hint="eastAsia" w:ascii="Times New Roman" w:hAnsi="Times New Roman"/>
          <w:sz w:val="20"/>
          <w:szCs w:val="20"/>
          <w:lang w:val="en-US" w:eastAsia="zh-CN"/>
        </w:rPr>
        <w:t>Option 2: One SRS configuration is applied to multiple cells, i.e., validity area</w:t>
      </w:r>
    </w:p>
    <w:p>
      <w:pPr>
        <w:pageBreakBefore w:val="0"/>
        <w:widowControl/>
        <w:numPr>
          <w:ilvl w:val="0"/>
          <w:numId w:val="15"/>
        </w:numPr>
        <w:kinsoku/>
        <w:wordWrap/>
        <w:topLinePunct w:val="0"/>
        <w:autoSpaceDE w:val="0"/>
        <w:autoSpaceDN w:val="0"/>
        <w:bidi w:val="0"/>
        <w:adjustRightInd w:val="0"/>
        <w:snapToGrid w:val="0"/>
        <w:spacing w:before="157" w:beforeLines="50" w:after="157" w:afterLines="50" w:line="240" w:lineRule="auto"/>
        <w:ind w:left="840" w:leftChars="0" w:hanging="420" w:firstLineChars="0"/>
        <w:rPr>
          <w:rFonts w:ascii="Times New Roman" w:hAnsi="Times New Roman"/>
          <w:sz w:val="20"/>
          <w:szCs w:val="20"/>
          <w:lang w:val="en-US" w:eastAsia="zh-CN"/>
        </w:rPr>
      </w:pPr>
      <w:r>
        <w:rPr>
          <w:rFonts w:hint="eastAsia" w:ascii="Times New Roman" w:hAnsi="Times New Roman"/>
          <w:sz w:val="20"/>
          <w:szCs w:val="20"/>
          <w:lang w:val="en-US" w:eastAsia="zh-CN"/>
        </w:rPr>
        <w:t>Similar as SL-PRS configuration with validity area, the SRS configuration is configured with a cell list, i.e., validity area by the last serving gNB that releases the UE into RRC_INACTIVE. UE will utilize the SRS configuration as long as the UE does not move out of the range of the cell list.</w:t>
      </w:r>
    </w:p>
    <w:p>
      <w:pPr>
        <w:pageBreakBefore w:val="0"/>
        <w:widowControl/>
        <w:numPr>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The two options share the same principle but with different ways of configuration. Therefore, we suggest RAN2 to consider the two options.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Proposal 5: For SRS configuration of LPHAP UE, support RAN2 to study the following options:</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Option 1: M</w:t>
      </w:r>
      <w:r>
        <w:rPr>
          <w:rFonts w:ascii="Times New Roman" w:hAnsi="Times New Roman"/>
          <w:b/>
          <w:bCs/>
          <w:i/>
          <w:iCs/>
          <w:sz w:val="20"/>
          <w:szCs w:val="20"/>
          <w:lang w:val="en-US" w:eastAsia="zh-CN"/>
        </w:rPr>
        <w:t xml:space="preserve">ultiple cell’s SRS configuration can be pre-configured </w:t>
      </w:r>
      <w:r>
        <w:rPr>
          <w:rFonts w:hint="eastAsia" w:ascii="Times New Roman" w:hAnsi="Times New Roman"/>
          <w:b/>
          <w:bCs/>
          <w:i/>
          <w:iCs/>
          <w:sz w:val="20"/>
          <w:szCs w:val="20"/>
          <w:lang w:val="en-US" w:eastAsia="zh-CN"/>
        </w:rPr>
        <w:t>by the serving gNB</w:t>
      </w:r>
    </w:p>
    <w:p>
      <w:pPr>
        <w:pageBreakBefore w:val="0"/>
        <w:widowControl/>
        <w:numPr>
          <w:ilvl w:val="0"/>
          <w:numId w:val="14"/>
        </w:numPr>
        <w:kinsoku/>
        <w:wordWrap/>
        <w:topLinePunct w:val="0"/>
        <w:autoSpaceDE w:val="0"/>
        <w:autoSpaceDN w:val="0"/>
        <w:bidi w:val="0"/>
        <w:adjustRightInd w:val="0"/>
        <w:snapToGrid w:val="0"/>
        <w:spacing w:before="157" w:beforeLines="50" w:after="157" w:afterLines="50" w:line="240" w:lineRule="auto"/>
        <w:ind w:left="425" w:leftChars="0" w:hanging="425" w:firstLineChars="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Option 2: One SRS configuration is applied to multiple cells, i.e.,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b/>
          <w:bCs/>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There is no explicit DRX on and RDX off rule in RRC_INACTIVE/RRC_IDLE. Even if UE is restricted to receive PRS only in the PO, UE still needs to receive SSB that are not in the PO, which can not save much UE power since UE wakes up to receive SSB will anyway cause much transition power.</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b/>
          <w:bCs/>
          <w:i/>
          <w:iCs/>
          <w:sz w:val="20"/>
          <w:szCs w:val="20"/>
          <w:u w:val="single"/>
          <w:lang w:val="en-US" w:eastAsia="zh-CN"/>
        </w:rPr>
      </w:pPr>
      <w:r>
        <w:rPr>
          <w:rFonts w:hint="eastAsia" w:ascii="Times New Roman" w:hAnsi="Times New Roman"/>
          <w:b/>
          <w:bCs/>
          <w:i/>
          <w:iCs/>
          <w:sz w:val="20"/>
          <w:szCs w:val="20"/>
          <w:lang w:val="en-US" w:eastAsia="zh-CN"/>
        </w:rPr>
        <w:t>Observation 2: RAN4 has agreed to introduce PRS reception window in RRC_INACTIVE state.</w:t>
      </w:r>
    </w:p>
    <w:p>
      <w:bookmarkStart w:id="8" w:name="_GoBack"/>
      <w:bookmarkEnd w:id="8"/>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 xml:space="preserve">Proposal 1: Support LPHAP UE to send its capability directly to LMF </w:t>
      </w:r>
      <w:r>
        <w:rPr>
          <w:rFonts w:ascii="Times New Roman" w:hAnsi="Times New Roman" w:eastAsia="宋体"/>
          <w:b/>
          <w:bCs/>
          <w:i/>
          <w:iCs/>
          <w:sz w:val="20"/>
          <w:szCs w:val="20"/>
          <w:lang w:val="en-US" w:eastAsia="zh-CN"/>
        </w:rPr>
        <w:t>and</w:t>
      </w:r>
      <w:r>
        <w:rPr>
          <w:rFonts w:hint="eastAsia" w:ascii="Times New Roman" w:hAnsi="Times New Roman" w:eastAsia="宋体"/>
          <w:b/>
          <w:bCs/>
          <w:i/>
          <w:iCs/>
          <w:sz w:val="20"/>
          <w:szCs w:val="20"/>
          <w:lang w:val="en-US" w:eastAsia="zh-CN"/>
        </w:rPr>
        <w:t>/or gNB for identification, based on the specific enhancements. FFS that one capability is enough, or separate capabilities of separate features are needed.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Support LMF to provide low capability PRS configuration to LPHAP UE.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Support RAN2 to study PRS configuration to align with SSBs. </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Support RAN2 to further study the configuration of PRS reception window in RRC_INACTIVE, especially on whether the PRS reception window should be configured by LMF or the serving gNB.</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Proposal 5: For SRS configuration of LPHAP UE, support RAN2 to study the following options:</w:t>
      </w:r>
    </w:p>
    <w:p>
      <w:pPr>
        <w:pageBreakBefore w:val="0"/>
        <w:widowControl/>
        <w:numPr>
          <w:ilvl w:val="0"/>
          <w:numId w:val="16"/>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Option 1: M</w:t>
      </w:r>
      <w:r>
        <w:rPr>
          <w:rFonts w:ascii="Times New Roman" w:hAnsi="Times New Roman"/>
          <w:b/>
          <w:bCs/>
          <w:i/>
          <w:iCs/>
          <w:sz w:val="20"/>
          <w:szCs w:val="20"/>
          <w:lang w:val="en-US" w:eastAsia="zh-CN"/>
        </w:rPr>
        <w:t xml:space="preserve">ultiple cell’s SRS configuration can be pre-configured </w:t>
      </w:r>
      <w:r>
        <w:rPr>
          <w:rFonts w:hint="eastAsia" w:ascii="Times New Roman" w:hAnsi="Times New Roman"/>
          <w:b/>
          <w:bCs/>
          <w:i/>
          <w:iCs/>
          <w:sz w:val="20"/>
          <w:szCs w:val="20"/>
          <w:lang w:val="en-US" w:eastAsia="zh-CN"/>
        </w:rPr>
        <w:t>by the serving gNB</w:t>
      </w:r>
    </w:p>
    <w:p>
      <w:pPr>
        <w:pageBreakBefore w:val="0"/>
        <w:widowControl/>
        <w:numPr>
          <w:ilvl w:val="0"/>
          <w:numId w:val="16"/>
        </w:numPr>
        <w:kinsoku/>
        <w:wordWrap/>
        <w:topLinePunct w:val="0"/>
        <w:autoSpaceDE w:val="0"/>
        <w:autoSpaceDN w:val="0"/>
        <w:bidi w:val="0"/>
        <w:adjustRightInd w:val="0"/>
        <w:snapToGrid w:val="0"/>
        <w:spacing w:before="157" w:beforeLines="50" w:after="157" w:afterLines="50" w:line="240" w:lineRule="auto"/>
        <w:ind w:left="420" w:leftChars="0" w:hanging="420" w:firstLineChars="0"/>
      </w:pPr>
      <w:r>
        <w:rPr>
          <w:rFonts w:hint="eastAsia" w:ascii="Times New Roman" w:hAnsi="Times New Roman"/>
          <w:b/>
          <w:bCs/>
          <w:i/>
          <w:iCs/>
          <w:sz w:val="20"/>
          <w:szCs w:val="20"/>
          <w:lang w:val="en-US" w:eastAsia="zh-CN"/>
        </w:rPr>
        <w:t>Option 2: One SRS configuration is applied to multiple cells, i.e., validity area</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5" w:name="_Toc18404543"/>
      <w:bookmarkStart w:id="6" w:name="_Toc18413612"/>
      <w:bookmarkStart w:id="7" w:name="_Toc18403976"/>
      <w:r>
        <w:rPr>
          <w:rFonts w:cs="Arial"/>
          <w:kern w:val="0"/>
          <w:sz w:val="28"/>
          <w:szCs w:val="32"/>
        </w:rPr>
        <w:t>References</w:t>
      </w:r>
      <w:bookmarkEnd w:id="5"/>
      <w:bookmarkEnd w:id="6"/>
      <w:bookmarkEnd w:id="7"/>
    </w:p>
    <w:p>
      <w:pPr>
        <w:pageBreakBefore w:val="0"/>
        <w:numPr>
          <w:ilvl w:val="0"/>
          <w:numId w:val="17"/>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RP-213</w:t>
      </w:r>
      <w:r>
        <w:rPr>
          <w:rFonts w:hint="eastAsia" w:ascii="Times New Roman" w:hAnsi="Times New Roman" w:eastAsia="宋体"/>
          <w:sz w:val="20"/>
          <w:szCs w:val="20"/>
          <w:lang w:val="en-US" w:eastAsia="zh-CN"/>
        </w:rPr>
        <w:t>588,</w:t>
      </w:r>
      <w:r>
        <w:rPr>
          <w:rFonts w:ascii="Times New Roman" w:hAnsi="Times New Roman" w:eastAsia="宋体"/>
          <w:sz w:val="20"/>
          <w:szCs w:val="20"/>
        </w:rPr>
        <w:t xml:space="preserve"> Revised SID on Study on expanded and improved NR positioning</w:t>
      </w:r>
      <w:r>
        <w:rPr>
          <w:rFonts w:hint="eastAsia" w:ascii="Times New Roman" w:hAnsi="Times New Roman" w:eastAsia="宋体"/>
          <w:sz w:val="20"/>
          <w:szCs w:val="20"/>
          <w:lang w:val="en-US" w:eastAsia="zh-CN"/>
        </w:rPr>
        <w:t>.</w:t>
      </w:r>
      <w:r>
        <w:rPr>
          <w:rFonts w:ascii="Times New Roman" w:hAnsi="Times New Roman" w:eastAsia="宋体"/>
          <w:sz w:val="20"/>
          <w:szCs w:val="20"/>
        </w:rPr>
        <w:t xml:space="preserve"> </w:t>
      </w:r>
    </w:p>
    <w:p>
      <w:pPr>
        <w:pageBreakBefore w:val="0"/>
        <w:numPr>
          <w:ilvl w:val="0"/>
          <w:numId w:val="17"/>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sz w:val="20"/>
          <w:szCs w:val="20"/>
          <w:lang w:eastAsia="zh-CN"/>
        </w:rPr>
        <w:t xml:space="preserve">TS 22.104, </w:t>
      </w:r>
      <w:r>
        <w:rPr>
          <w:rFonts w:ascii="Times New Roman" w:hAnsi="Times New Roman"/>
          <w:sz w:val="20"/>
          <w:szCs w:val="20"/>
        </w:rPr>
        <w:t>Service requirements for cyber-physical control applications in vertical domains, 2021-03.</w:t>
      </w:r>
    </w:p>
    <w:p>
      <w:pPr>
        <w:pageBreakBefore w:val="0"/>
        <w:numPr>
          <w:ilvl w:val="0"/>
          <w:numId w:val="17"/>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38.840, Study on User Equipment (UE) power saving in NR, 2019-06.</w:t>
      </w:r>
    </w:p>
    <w:p>
      <w:pPr>
        <w:pageBreakBefore w:val="0"/>
        <w:numPr>
          <w:ilvl w:val="0"/>
          <w:numId w:val="17"/>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WG4 meeting #104-e, Online, Aug, 2022</w:t>
      </w:r>
      <w:r>
        <w:rPr>
          <w:rFonts w:ascii="Times New Roman" w:hAnsi="Times New Roman" w:eastAsia="宋体"/>
          <w:sz w:val="20"/>
          <w:szCs w:val="20"/>
          <w:lang w:val="en-US" w:eastAsia="zh-CN"/>
        </w:rPr>
        <w:t>.</w:t>
      </w:r>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E827AA"/>
    <w:multiLevelType w:val="singleLevel"/>
    <w:tmpl w:val="8FE827AA"/>
    <w:lvl w:ilvl="0" w:tentative="0">
      <w:start w:val="1"/>
      <w:numFmt w:val="bullet"/>
      <w:lvlText w:val=""/>
      <w:lvlJc w:val="left"/>
      <w:pPr>
        <w:tabs>
          <w:tab w:val="left" w:pos="420"/>
        </w:tabs>
        <w:ind w:left="840" w:hanging="420"/>
      </w:pPr>
      <w:rPr>
        <w:rFonts w:hint="default" w:ascii="Wingdings" w:hAnsi="Wingdings"/>
      </w:rPr>
    </w:lvl>
  </w:abstractNum>
  <w:abstractNum w:abstractNumId="1">
    <w:nsid w:val="90B53F74"/>
    <w:multiLevelType w:val="singleLevel"/>
    <w:tmpl w:val="90B53F74"/>
    <w:lvl w:ilvl="0" w:tentative="0">
      <w:start w:val="1"/>
      <w:numFmt w:val="bullet"/>
      <w:lvlText w:val=""/>
      <w:lvlJc w:val="left"/>
      <w:pPr>
        <w:ind w:left="420" w:hanging="420"/>
      </w:pPr>
      <w:rPr>
        <w:rFonts w:hint="default" w:ascii="Wingdings" w:hAnsi="Wingdings"/>
      </w:rPr>
    </w:lvl>
  </w:abstractNum>
  <w:abstractNum w:abstractNumId="2">
    <w:nsid w:val="98C0DCEB"/>
    <w:multiLevelType w:val="singleLevel"/>
    <w:tmpl w:val="98C0DCEB"/>
    <w:lvl w:ilvl="0" w:tentative="0">
      <w:start w:val="1"/>
      <w:numFmt w:val="decimal"/>
      <w:suff w:val="space"/>
      <w:lvlText w:val="[%1]"/>
      <w:lvlJc w:val="left"/>
    </w:lvl>
  </w:abstractNum>
  <w:abstractNum w:abstractNumId="3">
    <w:nsid w:val="9B33583B"/>
    <w:multiLevelType w:val="multilevel"/>
    <w:tmpl w:val="9B3358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BD04E87F"/>
    <w:multiLevelType w:val="singleLevel"/>
    <w:tmpl w:val="BD04E87F"/>
    <w:lvl w:ilvl="0" w:tentative="0">
      <w:start w:val="1"/>
      <w:numFmt w:val="bullet"/>
      <w:lvlText w:val="•"/>
      <w:lvlJc w:val="left"/>
      <w:pPr>
        <w:ind w:left="420" w:hanging="420"/>
      </w:pPr>
      <w:rPr>
        <w:rFonts w:hint="default" w:ascii="Times New Roman" w:hAnsi="Times New Roman" w:cs="Times New Roman"/>
      </w:rPr>
    </w:lvl>
  </w:abstractNum>
  <w:abstractNum w:abstractNumId="5">
    <w:nsid w:val="EA63690C"/>
    <w:multiLevelType w:val="multilevel"/>
    <w:tmpl w:val="EA6369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ahoma" w:hAnsi="Tahoma"/>
      </w:rPr>
    </w:lvl>
    <w:lvl w:ilvl="2" w:tentative="0">
      <w:start w:val="1"/>
      <w:numFmt w:val="bullet"/>
      <w:lvlText w:val=""/>
      <w:lvlJc w:val="left"/>
      <w:pPr>
        <w:tabs>
          <w:tab w:val="left" w:pos="1260"/>
        </w:tabs>
        <w:ind w:left="1260" w:leftChars="0" w:hanging="420" w:firstLineChars="0"/>
      </w:pPr>
      <w:rPr>
        <w:rFonts w:hint="default" w:ascii="Tahoma" w:hAnsi="Tahoma"/>
      </w:rPr>
    </w:lvl>
    <w:lvl w:ilvl="3" w:tentative="0">
      <w:start w:val="1"/>
      <w:numFmt w:val="bullet"/>
      <w:lvlText w:val=""/>
      <w:lvlJc w:val="left"/>
      <w:pPr>
        <w:tabs>
          <w:tab w:val="left" w:pos="1680"/>
        </w:tabs>
        <w:ind w:left="1680" w:leftChars="0" w:hanging="420" w:firstLineChars="0"/>
      </w:pPr>
      <w:rPr>
        <w:rFonts w:hint="default" w:ascii="Tahoma" w:hAnsi="Tahoma"/>
      </w:rPr>
    </w:lvl>
    <w:lvl w:ilvl="4" w:tentative="0">
      <w:start w:val="1"/>
      <w:numFmt w:val="bullet"/>
      <w:lvlText w:val=""/>
      <w:lvlJc w:val="left"/>
      <w:pPr>
        <w:tabs>
          <w:tab w:val="left" w:pos="2100"/>
        </w:tabs>
        <w:ind w:left="2100" w:leftChars="0" w:hanging="420" w:firstLineChars="0"/>
      </w:pPr>
      <w:rPr>
        <w:rFonts w:hint="default" w:ascii="Tahoma" w:hAnsi="Tahoma"/>
      </w:rPr>
    </w:lvl>
    <w:lvl w:ilvl="5" w:tentative="0">
      <w:start w:val="1"/>
      <w:numFmt w:val="bullet"/>
      <w:lvlText w:val=""/>
      <w:lvlJc w:val="left"/>
      <w:pPr>
        <w:tabs>
          <w:tab w:val="left" w:pos="2520"/>
        </w:tabs>
        <w:ind w:left="2520" w:leftChars="0" w:hanging="420" w:firstLineChars="0"/>
      </w:pPr>
      <w:rPr>
        <w:rFonts w:hint="default" w:ascii="Tahoma" w:hAnsi="Tahoma"/>
      </w:rPr>
    </w:lvl>
    <w:lvl w:ilvl="6" w:tentative="0">
      <w:start w:val="1"/>
      <w:numFmt w:val="bullet"/>
      <w:lvlText w:val=""/>
      <w:lvlJc w:val="left"/>
      <w:pPr>
        <w:tabs>
          <w:tab w:val="left" w:pos="2940"/>
        </w:tabs>
        <w:ind w:left="2940" w:leftChars="0" w:hanging="420" w:firstLineChars="0"/>
      </w:pPr>
      <w:rPr>
        <w:rFonts w:hint="default" w:ascii="Tahoma" w:hAnsi="Tahoma"/>
      </w:rPr>
    </w:lvl>
    <w:lvl w:ilvl="7" w:tentative="0">
      <w:start w:val="1"/>
      <w:numFmt w:val="bullet"/>
      <w:lvlText w:val=""/>
      <w:lvlJc w:val="left"/>
      <w:pPr>
        <w:tabs>
          <w:tab w:val="left" w:pos="3360"/>
        </w:tabs>
        <w:ind w:left="3360" w:leftChars="0" w:hanging="420" w:firstLineChars="0"/>
      </w:pPr>
      <w:rPr>
        <w:rFonts w:hint="default" w:ascii="Tahoma" w:hAnsi="Tahoma"/>
      </w:rPr>
    </w:lvl>
    <w:lvl w:ilvl="8" w:tentative="0">
      <w:start w:val="1"/>
      <w:numFmt w:val="bullet"/>
      <w:lvlText w:val=""/>
      <w:lvlJc w:val="left"/>
      <w:pPr>
        <w:tabs>
          <w:tab w:val="left" w:pos="3780"/>
        </w:tabs>
        <w:ind w:left="3780" w:leftChars="0" w:hanging="420" w:firstLineChars="0"/>
      </w:pPr>
      <w:rPr>
        <w:rFonts w:hint="default" w:ascii="Tahoma" w:hAnsi="Tahoma"/>
      </w:rPr>
    </w:lvl>
  </w:abstractNum>
  <w:abstractNum w:abstractNumId="6">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7">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053EFC78"/>
    <w:multiLevelType w:val="multilevel"/>
    <w:tmpl w:val="053EFC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ahoma" w:hAnsi="Tahoma"/>
      </w:rPr>
    </w:lvl>
    <w:lvl w:ilvl="2" w:tentative="0">
      <w:start w:val="1"/>
      <w:numFmt w:val="bullet"/>
      <w:lvlText w:val=""/>
      <w:lvlJc w:val="left"/>
      <w:pPr>
        <w:tabs>
          <w:tab w:val="left" w:pos="1260"/>
        </w:tabs>
        <w:ind w:left="1260" w:leftChars="0" w:hanging="420" w:firstLineChars="0"/>
      </w:pPr>
      <w:rPr>
        <w:rFonts w:hint="default" w:ascii="Tahoma" w:hAnsi="Tahoma"/>
      </w:rPr>
    </w:lvl>
    <w:lvl w:ilvl="3" w:tentative="0">
      <w:start w:val="1"/>
      <w:numFmt w:val="bullet"/>
      <w:lvlText w:val=""/>
      <w:lvlJc w:val="left"/>
      <w:pPr>
        <w:tabs>
          <w:tab w:val="left" w:pos="1680"/>
        </w:tabs>
        <w:ind w:left="1680" w:leftChars="0" w:hanging="420" w:firstLineChars="0"/>
      </w:pPr>
      <w:rPr>
        <w:rFonts w:hint="default" w:ascii="Tahoma" w:hAnsi="Tahoma"/>
      </w:rPr>
    </w:lvl>
    <w:lvl w:ilvl="4" w:tentative="0">
      <w:start w:val="1"/>
      <w:numFmt w:val="bullet"/>
      <w:lvlText w:val=""/>
      <w:lvlJc w:val="left"/>
      <w:pPr>
        <w:tabs>
          <w:tab w:val="left" w:pos="2100"/>
        </w:tabs>
        <w:ind w:left="2100" w:leftChars="0" w:hanging="420" w:firstLineChars="0"/>
      </w:pPr>
      <w:rPr>
        <w:rFonts w:hint="default" w:ascii="Tahoma" w:hAnsi="Tahoma"/>
      </w:rPr>
    </w:lvl>
    <w:lvl w:ilvl="5" w:tentative="0">
      <w:start w:val="1"/>
      <w:numFmt w:val="bullet"/>
      <w:lvlText w:val=""/>
      <w:lvlJc w:val="left"/>
      <w:pPr>
        <w:tabs>
          <w:tab w:val="left" w:pos="2520"/>
        </w:tabs>
        <w:ind w:left="2520" w:leftChars="0" w:hanging="420" w:firstLineChars="0"/>
      </w:pPr>
      <w:rPr>
        <w:rFonts w:hint="default" w:ascii="Tahoma" w:hAnsi="Tahoma"/>
      </w:rPr>
    </w:lvl>
    <w:lvl w:ilvl="6" w:tentative="0">
      <w:start w:val="1"/>
      <w:numFmt w:val="bullet"/>
      <w:lvlText w:val=""/>
      <w:lvlJc w:val="left"/>
      <w:pPr>
        <w:tabs>
          <w:tab w:val="left" w:pos="2940"/>
        </w:tabs>
        <w:ind w:left="2940" w:leftChars="0" w:hanging="420" w:firstLineChars="0"/>
      </w:pPr>
      <w:rPr>
        <w:rFonts w:hint="default" w:ascii="Tahoma" w:hAnsi="Tahoma"/>
      </w:rPr>
    </w:lvl>
    <w:lvl w:ilvl="7" w:tentative="0">
      <w:start w:val="1"/>
      <w:numFmt w:val="bullet"/>
      <w:lvlText w:val=""/>
      <w:lvlJc w:val="left"/>
      <w:pPr>
        <w:tabs>
          <w:tab w:val="left" w:pos="3360"/>
        </w:tabs>
        <w:ind w:left="3360" w:leftChars="0" w:hanging="420" w:firstLineChars="0"/>
      </w:pPr>
      <w:rPr>
        <w:rFonts w:hint="default" w:ascii="Tahoma" w:hAnsi="Tahoma"/>
      </w:rPr>
    </w:lvl>
    <w:lvl w:ilvl="8" w:tentative="0">
      <w:start w:val="1"/>
      <w:numFmt w:val="bullet"/>
      <w:lvlText w:val=""/>
      <w:lvlJc w:val="left"/>
      <w:pPr>
        <w:tabs>
          <w:tab w:val="left" w:pos="3780"/>
        </w:tabs>
        <w:ind w:left="3780" w:leftChars="0" w:hanging="420" w:firstLineChars="0"/>
      </w:pPr>
      <w:rPr>
        <w:rFonts w:hint="default" w:ascii="Tahoma" w:hAnsi="Tahoma"/>
      </w:rPr>
    </w:lvl>
  </w:abstractNum>
  <w:abstractNum w:abstractNumId="9">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16D31AA"/>
    <w:multiLevelType w:val="singleLevel"/>
    <w:tmpl w:val="116D31AA"/>
    <w:lvl w:ilvl="0" w:tentative="0">
      <w:start w:val="1"/>
      <w:numFmt w:val="bullet"/>
      <w:lvlText w:val=""/>
      <w:lvlJc w:val="left"/>
      <w:pPr>
        <w:ind w:left="420" w:hanging="420"/>
      </w:pPr>
      <w:rPr>
        <w:rFonts w:hint="default" w:ascii="Wingdings" w:hAnsi="Wingdings"/>
      </w:rPr>
    </w:lvl>
  </w:abstractNum>
  <w:abstractNum w:abstractNumId="11">
    <w:nsid w:val="135406F8"/>
    <w:multiLevelType w:val="singleLevel"/>
    <w:tmpl w:val="135406F8"/>
    <w:lvl w:ilvl="0" w:tentative="0">
      <w:start w:val="1"/>
      <w:numFmt w:val="bullet"/>
      <w:lvlText w:val=""/>
      <w:lvlJc w:val="left"/>
      <w:pPr>
        <w:tabs>
          <w:tab w:val="left" w:pos="420"/>
        </w:tabs>
        <w:ind w:left="840" w:hanging="420"/>
      </w:pPr>
      <w:rPr>
        <w:rFonts w:hint="default" w:ascii="Wingdings" w:hAnsi="Wingdings"/>
      </w:rPr>
    </w:lvl>
  </w:abstractNum>
  <w:abstractNum w:abstractNumId="12">
    <w:nsid w:val="2A6CCA72"/>
    <w:multiLevelType w:val="multilevel"/>
    <w:tmpl w:val="2A6CCA7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3DF3DB27"/>
    <w:multiLevelType w:val="singleLevel"/>
    <w:tmpl w:val="3DF3DB27"/>
    <w:lvl w:ilvl="0" w:tentative="0">
      <w:start w:val="1"/>
      <w:numFmt w:val="bullet"/>
      <w:lvlText w:val=""/>
      <w:lvlJc w:val="left"/>
      <w:pPr>
        <w:ind w:left="420" w:hanging="420"/>
      </w:pPr>
      <w:rPr>
        <w:rFonts w:hint="default" w:ascii="Wingdings" w:hAnsi="Wingdings"/>
      </w:rPr>
    </w:lvl>
  </w:abstractNum>
  <w:abstractNum w:abstractNumId="1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6"/>
  </w:num>
  <w:num w:numId="2">
    <w:abstractNumId w:val="16"/>
  </w:num>
  <w:num w:numId="3">
    <w:abstractNumId w:val="13"/>
  </w:num>
  <w:num w:numId="4">
    <w:abstractNumId w:val="14"/>
  </w:num>
  <w:num w:numId="5">
    <w:abstractNumId w:val="7"/>
  </w:num>
  <w:num w:numId="6">
    <w:abstractNumId w:val="9"/>
  </w:num>
  <w:num w:numId="7">
    <w:abstractNumId w:val="12"/>
  </w:num>
  <w:num w:numId="8">
    <w:abstractNumId w:val="3"/>
  </w:num>
  <w:num w:numId="9">
    <w:abstractNumId w:val="15"/>
  </w:num>
  <w:num w:numId="10">
    <w:abstractNumId w:val="1"/>
  </w:num>
  <w:num w:numId="11">
    <w:abstractNumId w:val="4"/>
  </w:num>
  <w:num w:numId="12">
    <w:abstractNumId w:val="8"/>
  </w:num>
  <w:num w:numId="13">
    <w:abstractNumId w:val="11"/>
  </w:num>
  <w:num w:numId="14">
    <w:abstractNumId w:val="5"/>
  </w:num>
  <w:num w:numId="15">
    <w:abstractNumId w:val="0"/>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F2955"/>
    <w:rsid w:val="01A61BCC"/>
    <w:rsid w:val="01DB35BC"/>
    <w:rsid w:val="01E06294"/>
    <w:rsid w:val="02090528"/>
    <w:rsid w:val="02096E03"/>
    <w:rsid w:val="021A15C5"/>
    <w:rsid w:val="0276200A"/>
    <w:rsid w:val="02852DB6"/>
    <w:rsid w:val="02AF57A1"/>
    <w:rsid w:val="02B750FF"/>
    <w:rsid w:val="02C63FE5"/>
    <w:rsid w:val="02E5442A"/>
    <w:rsid w:val="02F13DD8"/>
    <w:rsid w:val="03397D1D"/>
    <w:rsid w:val="034C2C19"/>
    <w:rsid w:val="03695ACD"/>
    <w:rsid w:val="036E1C26"/>
    <w:rsid w:val="037439E2"/>
    <w:rsid w:val="03811AAC"/>
    <w:rsid w:val="038C6338"/>
    <w:rsid w:val="03BC3684"/>
    <w:rsid w:val="0427122D"/>
    <w:rsid w:val="04405CD4"/>
    <w:rsid w:val="04635DF4"/>
    <w:rsid w:val="04CA0EF3"/>
    <w:rsid w:val="05D1293B"/>
    <w:rsid w:val="05DD432B"/>
    <w:rsid w:val="06270E5D"/>
    <w:rsid w:val="06301129"/>
    <w:rsid w:val="06931225"/>
    <w:rsid w:val="06997BBE"/>
    <w:rsid w:val="06FD17FF"/>
    <w:rsid w:val="07332E45"/>
    <w:rsid w:val="07393CB3"/>
    <w:rsid w:val="074F610E"/>
    <w:rsid w:val="07645E7E"/>
    <w:rsid w:val="07815AA2"/>
    <w:rsid w:val="07DB31F6"/>
    <w:rsid w:val="08036844"/>
    <w:rsid w:val="0813454F"/>
    <w:rsid w:val="083828A5"/>
    <w:rsid w:val="08634AA9"/>
    <w:rsid w:val="086A0D8F"/>
    <w:rsid w:val="08870B03"/>
    <w:rsid w:val="08DF3B5A"/>
    <w:rsid w:val="08F85767"/>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BCC7616"/>
    <w:rsid w:val="0BFC2A25"/>
    <w:rsid w:val="0C0E0547"/>
    <w:rsid w:val="0C34609D"/>
    <w:rsid w:val="0C4A196E"/>
    <w:rsid w:val="0C567D3B"/>
    <w:rsid w:val="0C7F2DB2"/>
    <w:rsid w:val="0CBA1583"/>
    <w:rsid w:val="0CBC415D"/>
    <w:rsid w:val="0CD249CC"/>
    <w:rsid w:val="0D0E7FCB"/>
    <w:rsid w:val="0D4246F7"/>
    <w:rsid w:val="0D5B571E"/>
    <w:rsid w:val="0D9222C1"/>
    <w:rsid w:val="0DC045AB"/>
    <w:rsid w:val="0DFF7D07"/>
    <w:rsid w:val="0E374CA0"/>
    <w:rsid w:val="0E6F0740"/>
    <w:rsid w:val="0EC0431F"/>
    <w:rsid w:val="0EC841AC"/>
    <w:rsid w:val="0F321E2D"/>
    <w:rsid w:val="0F4E2E70"/>
    <w:rsid w:val="0F6715A1"/>
    <w:rsid w:val="0F8070F6"/>
    <w:rsid w:val="0FA731D6"/>
    <w:rsid w:val="0FEB5B51"/>
    <w:rsid w:val="0FFB5943"/>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394E59"/>
    <w:rsid w:val="127D584B"/>
    <w:rsid w:val="1299671F"/>
    <w:rsid w:val="12A742B1"/>
    <w:rsid w:val="12C40C84"/>
    <w:rsid w:val="12E63AB1"/>
    <w:rsid w:val="13036F01"/>
    <w:rsid w:val="131813A1"/>
    <w:rsid w:val="13DC640D"/>
    <w:rsid w:val="141842FE"/>
    <w:rsid w:val="14352831"/>
    <w:rsid w:val="146B64E1"/>
    <w:rsid w:val="14993B21"/>
    <w:rsid w:val="14D73601"/>
    <w:rsid w:val="15014A40"/>
    <w:rsid w:val="15283F81"/>
    <w:rsid w:val="15442AC7"/>
    <w:rsid w:val="156B4B8B"/>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DC52D7"/>
    <w:rsid w:val="18F32BCE"/>
    <w:rsid w:val="18F47A1E"/>
    <w:rsid w:val="18FC4F8D"/>
    <w:rsid w:val="18FF4ABB"/>
    <w:rsid w:val="19343406"/>
    <w:rsid w:val="1A45032B"/>
    <w:rsid w:val="1A640E62"/>
    <w:rsid w:val="1A694128"/>
    <w:rsid w:val="1A713779"/>
    <w:rsid w:val="1A84217D"/>
    <w:rsid w:val="1A9B1F53"/>
    <w:rsid w:val="1ABB54B3"/>
    <w:rsid w:val="1ADD47AF"/>
    <w:rsid w:val="1AE025B8"/>
    <w:rsid w:val="1B27429F"/>
    <w:rsid w:val="1B287D14"/>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F853F14"/>
    <w:rsid w:val="1F8E0455"/>
    <w:rsid w:val="1FA76059"/>
    <w:rsid w:val="1FAF272D"/>
    <w:rsid w:val="1FC76FC8"/>
    <w:rsid w:val="1FDB17D6"/>
    <w:rsid w:val="1FE374E8"/>
    <w:rsid w:val="1FFC5344"/>
    <w:rsid w:val="204934AB"/>
    <w:rsid w:val="20573F56"/>
    <w:rsid w:val="20705710"/>
    <w:rsid w:val="20840318"/>
    <w:rsid w:val="20930DFA"/>
    <w:rsid w:val="20CE5836"/>
    <w:rsid w:val="20D02BC7"/>
    <w:rsid w:val="20F0405B"/>
    <w:rsid w:val="210637EE"/>
    <w:rsid w:val="210948AE"/>
    <w:rsid w:val="211E529B"/>
    <w:rsid w:val="212F726E"/>
    <w:rsid w:val="213A5E32"/>
    <w:rsid w:val="214425B4"/>
    <w:rsid w:val="21783992"/>
    <w:rsid w:val="218F6DAE"/>
    <w:rsid w:val="21A40526"/>
    <w:rsid w:val="21D36B48"/>
    <w:rsid w:val="21D93ECC"/>
    <w:rsid w:val="221B7641"/>
    <w:rsid w:val="222E4F94"/>
    <w:rsid w:val="223B5FD0"/>
    <w:rsid w:val="224F5646"/>
    <w:rsid w:val="229A0A46"/>
    <w:rsid w:val="22BD0C78"/>
    <w:rsid w:val="22D5441E"/>
    <w:rsid w:val="22D61F71"/>
    <w:rsid w:val="23170589"/>
    <w:rsid w:val="232660FF"/>
    <w:rsid w:val="23BE01FF"/>
    <w:rsid w:val="2418652F"/>
    <w:rsid w:val="245A1846"/>
    <w:rsid w:val="248512BD"/>
    <w:rsid w:val="24DF29CF"/>
    <w:rsid w:val="24E51B39"/>
    <w:rsid w:val="25173A41"/>
    <w:rsid w:val="252D5DCC"/>
    <w:rsid w:val="255B75CB"/>
    <w:rsid w:val="25841D88"/>
    <w:rsid w:val="25983F03"/>
    <w:rsid w:val="25A45302"/>
    <w:rsid w:val="25A94E88"/>
    <w:rsid w:val="25C84E2B"/>
    <w:rsid w:val="25E135DF"/>
    <w:rsid w:val="261E413F"/>
    <w:rsid w:val="263E633F"/>
    <w:rsid w:val="267E599C"/>
    <w:rsid w:val="26995B41"/>
    <w:rsid w:val="26C17FC8"/>
    <w:rsid w:val="26D04B06"/>
    <w:rsid w:val="27771F24"/>
    <w:rsid w:val="27997F2B"/>
    <w:rsid w:val="27B132D6"/>
    <w:rsid w:val="27B94A5B"/>
    <w:rsid w:val="27FF1FDA"/>
    <w:rsid w:val="28026CAF"/>
    <w:rsid w:val="28915210"/>
    <w:rsid w:val="28937E74"/>
    <w:rsid w:val="29095102"/>
    <w:rsid w:val="293E1B9C"/>
    <w:rsid w:val="299F2C32"/>
    <w:rsid w:val="29A240AE"/>
    <w:rsid w:val="29A81AA0"/>
    <w:rsid w:val="29B32846"/>
    <w:rsid w:val="29ED63D5"/>
    <w:rsid w:val="2A275682"/>
    <w:rsid w:val="2A275D46"/>
    <w:rsid w:val="2AA14025"/>
    <w:rsid w:val="2AA2481F"/>
    <w:rsid w:val="2ACA4643"/>
    <w:rsid w:val="2B2348E2"/>
    <w:rsid w:val="2B410587"/>
    <w:rsid w:val="2B5D0645"/>
    <w:rsid w:val="2B8D6E28"/>
    <w:rsid w:val="2B907720"/>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DF7C66"/>
    <w:rsid w:val="2DFB709E"/>
    <w:rsid w:val="2E09336F"/>
    <w:rsid w:val="2E1874A7"/>
    <w:rsid w:val="2E291A3B"/>
    <w:rsid w:val="2EC27772"/>
    <w:rsid w:val="2ED0428B"/>
    <w:rsid w:val="2EF02B88"/>
    <w:rsid w:val="2F263E1B"/>
    <w:rsid w:val="2F337D9E"/>
    <w:rsid w:val="300160A4"/>
    <w:rsid w:val="3003631E"/>
    <w:rsid w:val="30745F5B"/>
    <w:rsid w:val="3078124A"/>
    <w:rsid w:val="3090209F"/>
    <w:rsid w:val="30953FB5"/>
    <w:rsid w:val="30B900CD"/>
    <w:rsid w:val="30EF2DA4"/>
    <w:rsid w:val="31623402"/>
    <w:rsid w:val="31EB4942"/>
    <w:rsid w:val="31EC5E5F"/>
    <w:rsid w:val="32187B45"/>
    <w:rsid w:val="32362071"/>
    <w:rsid w:val="3273050E"/>
    <w:rsid w:val="32891F62"/>
    <w:rsid w:val="328C1583"/>
    <w:rsid w:val="32BA51FE"/>
    <w:rsid w:val="32C9080C"/>
    <w:rsid w:val="32CA0CF4"/>
    <w:rsid w:val="32E51067"/>
    <w:rsid w:val="32FC45E1"/>
    <w:rsid w:val="334275F5"/>
    <w:rsid w:val="33636F14"/>
    <w:rsid w:val="33670485"/>
    <w:rsid w:val="33C54618"/>
    <w:rsid w:val="33F922E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1F6D33"/>
    <w:rsid w:val="382E42A6"/>
    <w:rsid w:val="38A75F14"/>
    <w:rsid w:val="38BD2C6C"/>
    <w:rsid w:val="38E022B1"/>
    <w:rsid w:val="38EC59C6"/>
    <w:rsid w:val="38FA0996"/>
    <w:rsid w:val="392957F1"/>
    <w:rsid w:val="39467E4B"/>
    <w:rsid w:val="396E02FE"/>
    <w:rsid w:val="39781F0B"/>
    <w:rsid w:val="39813C35"/>
    <w:rsid w:val="3982272C"/>
    <w:rsid w:val="399648C1"/>
    <w:rsid w:val="39BB3B43"/>
    <w:rsid w:val="39E31D59"/>
    <w:rsid w:val="3A156CE0"/>
    <w:rsid w:val="3A277789"/>
    <w:rsid w:val="3A2D66D3"/>
    <w:rsid w:val="3A774C42"/>
    <w:rsid w:val="3A891A0E"/>
    <w:rsid w:val="3A8950EF"/>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984876"/>
    <w:rsid w:val="3DAC0E95"/>
    <w:rsid w:val="3E176CAE"/>
    <w:rsid w:val="3E7A082F"/>
    <w:rsid w:val="3E926EC3"/>
    <w:rsid w:val="3E93478A"/>
    <w:rsid w:val="3E9F10BF"/>
    <w:rsid w:val="3EAB4933"/>
    <w:rsid w:val="3EC40624"/>
    <w:rsid w:val="3F0875E3"/>
    <w:rsid w:val="3F09726C"/>
    <w:rsid w:val="3F1F25CF"/>
    <w:rsid w:val="3F4275F7"/>
    <w:rsid w:val="3F495E7B"/>
    <w:rsid w:val="3F5B21D1"/>
    <w:rsid w:val="3F73510D"/>
    <w:rsid w:val="3F8759C3"/>
    <w:rsid w:val="3FB60A94"/>
    <w:rsid w:val="3FBD74AC"/>
    <w:rsid w:val="402D7D95"/>
    <w:rsid w:val="402F67F2"/>
    <w:rsid w:val="402F7D1A"/>
    <w:rsid w:val="405E7B10"/>
    <w:rsid w:val="40E74724"/>
    <w:rsid w:val="411531A3"/>
    <w:rsid w:val="414B0A93"/>
    <w:rsid w:val="415723A1"/>
    <w:rsid w:val="41643432"/>
    <w:rsid w:val="421B0E01"/>
    <w:rsid w:val="42397238"/>
    <w:rsid w:val="42481B2A"/>
    <w:rsid w:val="428328E7"/>
    <w:rsid w:val="42F81741"/>
    <w:rsid w:val="42FD5B58"/>
    <w:rsid w:val="437906BF"/>
    <w:rsid w:val="43896179"/>
    <w:rsid w:val="43945CC5"/>
    <w:rsid w:val="43BC7AB7"/>
    <w:rsid w:val="43CE3BC6"/>
    <w:rsid w:val="43FB5AF0"/>
    <w:rsid w:val="440B4BBE"/>
    <w:rsid w:val="44211E9A"/>
    <w:rsid w:val="4454633F"/>
    <w:rsid w:val="44555A83"/>
    <w:rsid w:val="446A1C8A"/>
    <w:rsid w:val="448E37BC"/>
    <w:rsid w:val="44C70D28"/>
    <w:rsid w:val="44EE2D37"/>
    <w:rsid w:val="44F2313F"/>
    <w:rsid w:val="44F66A73"/>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E221AB"/>
    <w:rsid w:val="47FE7D60"/>
    <w:rsid w:val="48110BF4"/>
    <w:rsid w:val="48200D75"/>
    <w:rsid w:val="48283643"/>
    <w:rsid w:val="484C3C28"/>
    <w:rsid w:val="48516D40"/>
    <w:rsid w:val="486A5C7B"/>
    <w:rsid w:val="48BB3F94"/>
    <w:rsid w:val="48DE0121"/>
    <w:rsid w:val="48DF2E4F"/>
    <w:rsid w:val="48E03D9C"/>
    <w:rsid w:val="490B656E"/>
    <w:rsid w:val="49374149"/>
    <w:rsid w:val="495C016E"/>
    <w:rsid w:val="49613924"/>
    <w:rsid w:val="496D0F3E"/>
    <w:rsid w:val="49736122"/>
    <w:rsid w:val="49BA69E4"/>
    <w:rsid w:val="49C91669"/>
    <w:rsid w:val="49E12571"/>
    <w:rsid w:val="49E378C6"/>
    <w:rsid w:val="4A2C24D8"/>
    <w:rsid w:val="4A834EBE"/>
    <w:rsid w:val="4AB03CA7"/>
    <w:rsid w:val="4B3040AF"/>
    <w:rsid w:val="4B55574A"/>
    <w:rsid w:val="4B8B3072"/>
    <w:rsid w:val="4BA90131"/>
    <w:rsid w:val="4BB36285"/>
    <w:rsid w:val="4BD35EC5"/>
    <w:rsid w:val="4BF55CE7"/>
    <w:rsid w:val="4C1B3C0A"/>
    <w:rsid w:val="4C4846F9"/>
    <w:rsid w:val="4CAC205F"/>
    <w:rsid w:val="4CB652AF"/>
    <w:rsid w:val="4CBC728A"/>
    <w:rsid w:val="4CD02623"/>
    <w:rsid w:val="4CFB69A6"/>
    <w:rsid w:val="4D2316EA"/>
    <w:rsid w:val="4D267491"/>
    <w:rsid w:val="4D830955"/>
    <w:rsid w:val="4DBA0BBF"/>
    <w:rsid w:val="4DF641D3"/>
    <w:rsid w:val="4E142C10"/>
    <w:rsid w:val="4E3E017D"/>
    <w:rsid w:val="4E595188"/>
    <w:rsid w:val="4E5F59DA"/>
    <w:rsid w:val="4E9C207E"/>
    <w:rsid w:val="4EA44C2A"/>
    <w:rsid w:val="4EB52600"/>
    <w:rsid w:val="4EF04DAF"/>
    <w:rsid w:val="4EF23E87"/>
    <w:rsid w:val="4F2941D5"/>
    <w:rsid w:val="4F6760FD"/>
    <w:rsid w:val="4FFC0A94"/>
    <w:rsid w:val="50081059"/>
    <w:rsid w:val="503130FA"/>
    <w:rsid w:val="509C4E92"/>
    <w:rsid w:val="50EA436D"/>
    <w:rsid w:val="50F36CD9"/>
    <w:rsid w:val="512E641B"/>
    <w:rsid w:val="517D059D"/>
    <w:rsid w:val="5187443E"/>
    <w:rsid w:val="519A289D"/>
    <w:rsid w:val="51FA56D9"/>
    <w:rsid w:val="521723B7"/>
    <w:rsid w:val="523F7F97"/>
    <w:rsid w:val="52FA6FA7"/>
    <w:rsid w:val="53047529"/>
    <w:rsid w:val="53B9060B"/>
    <w:rsid w:val="54107975"/>
    <w:rsid w:val="5451551D"/>
    <w:rsid w:val="548B3E8B"/>
    <w:rsid w:val="548C2C0D"/>
    <w:rsid w:val="54D6790A"/>
    <w:rsid w:val="54DF4ADE"/>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0C7452"/>
    <w:rsid w:val="57460503"/>
    <w:rsid w:val="575272DC"/>
    <w:rsid w:val="575370FA"/>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D2668"/>
    <w:rsid w:val="596F34AA"/>
    <w:rsid w:val="59974D7F"/>
    <w:rsid w:val="59C407FC"/>
    <w:rsid w:val="59C754AB"/>
    <w:rsid w:val="59E079AB"/>
    <w:rsid w:val="5A375749"/>
    <w:rsid w:val="5A5A162D"/>
    <w:rsid w:val="5A6511C0"/>
    <w:rsid w:val="5A726BA0"/>
    <w:rsid w:val="5AB04EA5"/>
    <w:rsid w:val="5AB82FDD"/>
    <w:rsid w:val="5AD3204F"/>
    <w:rsid w:val="5AE94788"/>
    <w:rsid w:val="5B071BBA"/>
    <w:rsid w:val="5B3C55BF"/>
    <w:rsid w:val="5B63756F"/>
    <w:rsid w:val="5B725B6B"/>
    <w:rsid w:val="5BBE026D"/>
    <w:rsid w:val="5BD439A7"/>
    <w:rsid w:val="5BDF3319"/>
    <w:rsid w:val="5BE14EE6"/>
    <w:rsid w:val="5C7979D9"/>
    <w:rsid w:val="5C991133"/>
    <w:rsid w:val="5C995E25"/>
    <w:rsid w:val="5CA67DE0"/>
    <w:rsid w:val="5D5144C0"/>
    <w:rsid w:val="5D872BD6"/>
    <w:rsid w:val="5D8D143F"/>
    <w:rsid w:val="5DF13FC8"/>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0E7577"/>
    <w:rsid w:val="601A7A49"/>
    <w:rsid w:val="602F4794"/>
    <w:rsid w:val="607F4912"/>
    <w:rsid w:val="60881A7C"/>
    <w:rsid w:val="609751E5"/>
    <w:rsid w:val="60C10976"/>
    <w:rsid w:val="61563C9D"/>
    <w:rsid w:val="61C16E82"/>
    <w:rsid w:val="61CB5141"/>
    <w:rsid w:val="61D81A5C"/>
    <w:rsid w:val="61ED67CB"/>
    <w:rsid w:val="61FB7175"/>
    <w:rsid w:val="620D1678"/>
    <w:rsid w:val="624F1D5A"/>
    <w:rsid w:val="62B8321C"/>
    <w:rsid w:val="630962B4"/>
    <w:rsid w:val="63766DF5"/>
    <w:rsid w:val="63A35F0B"/>
    <w:rsid w:val="63BE6B4B"/>
    <w:rsid w:val="63D91547"/>
    <w:rsid w:val="63E41E32"/>
    <w:rsid w:val="63F6588B"/>
    <w:rsid w:val="6406254B"/>
    <w:rsid w:val="643636FB"/>
    <w:rsid w:val="64522BD2"/>
    <w:rsid w:val="646766DC"/>
    <w:rsid w:val="648A4A7E"/>
    <w:rsid w:val="64A35F70"/>
    <w:rsid w:val="64B43FCC"/>
    <w:rsid w:val="64E010F2"/>
    <w:rsid w:val="6503009D"/>
    <w:rsid w:val="651E5E20"/>
    <w:rsid w:val="65535A1B"/>
    <w:rsid w:val="65654DFF"/>
    <w:rsid w:val="657E2D0B"/>
    <w:rsid w:val="657F68B0"/>
    <w:rsid w:val="65817DB1"/>
    <w:rsid w:val="65D84197"/>
    <w:rsid w:val="65F12F76"/>
    <w:rsid w:val="65FE510C"/>
    <w:rsid w:val="660E507B"/>
    <w:rsid w:val="66373410"/>
    <w:rsid w:val="663D2A37"/>
    <w:rsid w:val="66576902"/>
    <w:rsid w:val="669369C9"/>
    <w:rsid w:val="66943B2D"/>
    <w:rsid w:val="66A9581B"/>
    <w:rsid w:val="66D82AA7"/>
    <w:rsid w:val="66E9436F"/>
    <w:rsid w:val="670859AA"/>
    <w:rsid w:val="67165E6D"/>
    <w:rsid w:val="675A1CF7"/>
    <w:rsid w:val="6761194F"/>
    <w:rsid w:val="67626BF9"/>
    <w:rsid w:val="677B09DF"/>
    <w:rsid w:val="677F7400"/>
    <w:rsid w:val="67A01566"/>
    <w:rsid w:val="67A63D55"/>
    <w:rsid w:val="67A84465"/>
    <w:rsid w:val="67AB3B49"/>
    <w:rsid w:val="67AC298E"/>
    <w:rsid w:val="67CF3424"/>
    <w:rsid w:val="67FA2480"/>
    <w:rsid w:val="67FF610F"/>
    <w:rsid w:val="68157B1D"/>
    <w:rsid w:val="683220D0"/>
    <w:rsid w:val="68384317"/>
    <w:rsid w:val="68566A84"/>
    <w:rsid w:val="685F312A"/>
    <w:rsid w:val="68603781"/>
    <w:rsid w:val="68C11A08"/>
    <w:rsid w:val="68CC70D7"/>
    <w:rsid w:val="69291ACC"/>
    <w:rsid w:val="693D6722"/>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387634"/>
    <w:rsid w:val="6B5068BA"/>
    <w:rsid w:val="6BAC6702"/>
    <w:rsid w:val="6BFF0085"/>
    <w:rsid w:val="6C2F5929"/>
    <w:rsid w:val="6C321BE0"/>
    <w:rsid w:val="6C45207A"/>
    <w:rsid w:val="6C5569A0"/>
    <w:rsid w:val="6C954AC2"/>
    <w:rsid w:val="6CBE6C13"/>
    <w:rsid w:val="6D17028B"/>
    <w:rsid w:val="6D2552D8"/>
    <w:rsid w:val="6D302D5D"/>
    <w:rsid w:val="6D3C235D"/>
    <w:rsid w:val="6D935AB0"/>
    <w:rsid w:val="6DA62403"/>
    <w:rsid w:val="6DAB624E"/>
    <w:rsid w:val="6DEF387C"/>
    <w:rsid w:val="6DF5498C"/>
    <w:rsid w:val="6E087119"/>
    <w:rsid w:val="6E0A3A07"/>
    <w:rsid w:val="6E372360"/>
    <w:rsid w:val="6E4F724A"/>
    <w:rsid w:val="6E60770D"/>
    <w:rsid w:val="6EB80F65"/>
    <w:rsid w:val="6F037853"/>
    <w:rsid w:val="6F0B0650"/>
    <w:rsid w:val="6F57168C"/>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EF2FA5"/>
    <w:rsid w:val="720E19E5"/>
    <w:rsid w:val="7210341D"/>
    <w:rsid w:val="723E6D09"/>
    <w:rsid w:val="725F7758"/>
    <w:rsid w:val="7261110F"/>
    <w:rsid w:val="728202A5"/>
    <w:rsid w:val="72C12A96"/>
    <w:rsid w:val="73624F26"/>
    <w:rsid w:val="736C6888"/>
    <w:rsid w:val="737F4DAF"/>
    <w:rsid w:val="739A74E3"/>
    <w:rsid w:val="739B1EBD"/>
    <w:rsid w:val="73AF18CB"/>
    <w:rsid w:val="73B9425D"/>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D61CB2"/>
    <w:rsid w:val="78E83B36"/>
    <w:rsid w:val="78F104FB"/>
    <w:rsid w:val="78FD61AA"/>
    <w:rsid w:val="79493EB1"/>
    <w:rsid w:val="79572CF4"/>
    <w:rsid w:val="797C66CF"/>
    <w:rsid w:val="79A21387"/>
    <w:rsid w:val="79BF3867"/>
    <w:rsid w:val="7A0948B3"/>
    <w:rsid w:val="7A674481"/>
    <w:rsid w:val="7A7550A6"/>
    <w:rsid w:val="7AAF3771"/>
    <w:rsid w:val="7ADA2E94"/>
    <w:rsid w:val="7AE335B2"/>
    <w:rsid w:val="7AEC001A"/>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326B8C"/>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2496</Words>
  <Characters>14229</Characters>
  <Lines>118</Lines>
  <Paragraphs>33</Paragraphs>
  <TotalTime>0</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00255772</cp:lastModifiedBy>
  <cp:lastPrinted>2113-01-01T00:00:00Z</cp:lastPrinted>
  <dcterms:modified xsi:type="dcterms:W3CDTF">2022-09-30T02:17:07Z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70DF5ACFD0F04B17A325C062043ED394</vt:lpwstr>
  </property>
</Properties>
</file>